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kinsoku/>
        <w:wordWrap/>
        <w:overflowPunct/>
        <w:bidi w:val="0"/>
        <w:spacing w:before="0" w:after="0" w:line="560" w:lineRule="atLeast"/>
        <w:ind w:firstLine="0"/>
        <w:jc w:val="center"/>
        <w:textAlignment w:val="auto"/>
        <w:rPr>
          <w:rFonts w:ascii="宋体" w:hAnsi="宋体" w:cs="黑体"/>
          <w:b/>
          <w:sz w:val="48"/>
          <w:szCs w:val="48"/>
        </w:rPr>
      </w:pPr>
      <w:r>
        <w:rPr>
          <w:rFonts w:hint="eastAsia" w:ascii="宋体" w:hAnsi="宋体" w:cs="黑体"/>
          <w:b/>
          <w:sz w:val="48"/>
          <w:szCs w:val="48"/>
        </w:rPr>
        <w:t xml:space="preserve"> </w:t>
      </w:r>
    </w:p>
    <w:p>
      <w:pPr>
        <w:kinsoku/>
        <w:wordWrap/>
        <w:overflowPunct/>
        <w:bidi w:val="0"/>
        <w:spacing w:line="560" w:lineRule="atLeast"/>
        <w:jc w:val="center"/>
        <w:textAlignment w:val="auto"/>
        <w:rPr>
          <w:rFonts w:ascii="仿宋_GB2312" w:hAnsi="仿宋_GB2312" w:eastAsia="仿宋_GB2312" w:cs="仿宋_GB2312"/>
          <w:b/>
          <w:sz w:val="48"/>
          <w:szCs w:val="48"/>
        </w:rPr>
      </w:pPr>
      <w:r>
        <w:rPr>
          <w:rFonts w:hint="eastAsia" w:ascii="仿宋_GB2312" w:hAnsi="仿宋_GB2312" w:eastAsia="仿宋_GB2312" w:cs="仿宋_GB2312"/>
          <w:b/>
          <w:sz w:val="52"/>
          <w:szCs w:val="52"/>
        </w:rPr>
        <w:t>生产</w:t>
      </w:r>
      <w:r>
        <w:rPr>
          <w:rFonts w:ascii="仿宋_GB2312" w:hAnsi="仿宋_GB2312" w:eastAsia="仿宋_GB2312" w:cs="仿宋_GB2312"/>
          <w:b/>
          <w:sz w:val="52"/>
          <w:szCs w:val="52"/>
        </w:rPr>
        <w:t>运营数据</w:t>
      </w:r>
      <w:r>
        <w:rPr>
          <w:rFonts w:hint="eastAsia" w:ascii="仿宋_GB2312" w:hAnsi="仿宋_GB2312" w:eastAsia="仿宋_GB2312" w:cs="仿宋_GB2312"/>
          <w:b/>
          <w:sz w:val="52"/>
          <w:szCs w:val="52"/>
        </w:rPr>
        <w:t>、视频监控</w:t>
      </w:r>
      <w:r>
        <w:rPr>
          <w:rFonts w:ascii="仿宋_GB2312" w:hAnsi="仿宋_GB2312" w:eastAsia="仿宋_GB2312" w:cs="仿宋_GB2312"/>
          <w:b/>
          <w:sz w:val="52"/>
          <w:szCs w:val="52"/>
        </w:rPr>
        <w:t>对接服务</w:t>
      </w:r>
    </w:p>
    <w:p>
      <w:pPr>
        <w:pStyle w:val="56"/>
        <w:kinsoku/>
        <w:wordWrap/>
        <w:overflowPunct/>
        <w:bidi w:val="0"/>
        <w:spacing w:before="0" w:after="0" w:line="560" w:lineRule="atLeast"/>
        <w:ind w:firstLine="0"/>
        <w:jc w:val="center"/>
        <w:textAlignment w:val="auto"/>
      </w:pPr>
      <w:r>
        <w:rPr>
          <w:rFonts w:hint="eastAsia" w:ascii="宋体" w:hAnsi="宋体" w:cs="黑体"/>
          <w:b/>
          <w:sz w:val="48"/>
          <w:szCs w:val="48"/>
        </w:rPr>
        <w:t xml:space="preserve">  </w:t>
      </w:r>
    </w:p>
    <w:p>
      <w:pPr>
        <w:pStyle w:val="39"/>
        <w:kinsoku/>
        <w:wordWrap/>
        <w:overflowPunct/>
        <w:bidi w:val="0"/>
        <w:spacing w:line="560" w:lineRule="atLeast"/>
        <w:textAlignment w:val="auto"/>
      </w:pPr>
    </w:p>
    <w:p>
      <w:pPr>
        <w:kinsoku/>
        <w:wordWrap/>
        <w:overflowPunct/>
        <w:bidi w:val="0"/>
        <w:spacing w:line="560" w:lineRule="atLeast"/>
        <w:jc w:val="center"/>
        <w:textAlignment w:val="auto"/>
        <w:rPr>
          <w:rFonts w:ascii="仿宋_GB2312" w:hAnsi="仿宋" w:eastAsia="仿宋_GB2312"/>
          <w:sz w:val="32"/>
          <w:szCs w:val="32"/>
        </w:rPr>
      </w:pPr>
      <w:r>
        <w:rPr>
          <w:rFonts w:hint="eastAsia" w:ascii="宋体" w:hAnsi="宋体"/>
          <w:b/>
          <w:sz w:val="56"/>
          <w:szCs w:val="56"/>
        </w:rPr>
        <w:t>竞争性谈判文件</w:t>
      </w:r>
    </w:p>
    <w:p>
      <w:pPr>
        <w:pStyle w:val="56"/>
        <w:kinsoku/>
        <w:wordWrap/>
        <w:overflowPunct/>
        <w:bidi w:val="0"/>
        <w:spacing w:before="0" w:after="0" w:line="560" w:lineRule="atLeast"/>
        <w:ind w:left="1405" w:hanging="1405" w:hangingChars="500"/>
        <w:textAlignment w:val="auto"/>
        <w:rPr>
          <w:rFonts w:cs="Times New Roman"/>
          <w:b/>
          <w:kern w:val="2"/>
        </w:rPr>
      </w:pPr>
    </w:p>
    <w:p>
      <w:pPr>
        <w:pStyle w:val="56"/>
        <w:kinsoku/>
        <w:wordWrap/>
        <w:overflowPunct/>
        <w:bidi w:val="0"/>
        <w:spacing w:before="0" w:after="0" w:line="560" w:lineRule="atLeast"/>
        <w:ind w:left="1405" w:hanging="1405" w:hangingChars="500"/>
        <w:textAlignment w:val="auto"/>
        <w:rPr>
          <w:rFonts w:ascii="仿宋_GB2312" w:hAnsi="仿宋" w:eastAsia="仿宋_GB2312" w:cs="Times New Roman"/>
          <w:b/>
          <w:bCs/>
          <w:kern w:val="2"/>
        </w:rPr>
      </w:pPr>
      <w:r>
        <w:rPr>
          <w:rFonts w:hint="eastAsia" w:cs="Times New Roman"/>
          <w:b/>
          <w:kern w:val="2"/>
        </w:rPr>
        <w:t>项目名称：生产</w:t>
      </w:r>
      <w:r>
        <w:rPr>
          <w:rFonts w:hint="eastAsia" w:ascii="仿宋_GB2312" w:hAnsi="仿宋_GB2312" w:eastAsia="仿宋_GB2312" w:cs="仿宋_GB2312"/>
          <w:b/>
        </w:rPr>
        <w:t>运营数据、视频监控对接服务</w:t>
      </w:r>
    </w:p>
    <w:p>
      <w:pPr>
        <w:pStyle w:val="56"/>
        <w:kinsoku/>
        <w:wordWrap/>
        <w:overflowPunct/>
        <w:bidi w:val="0"/>
        <w:spacing w:before="0" w:after="0" w:line="560" w:lineRule="atLeast"/>
        <w:ind w:left="1391" w:hanging="1391" w:hangingChars="495"/>
        <w:textAlignment w:val="auto"/>
        <w:rPr>
          <w:rFonts w:hint="eastAsia"/>
          <w:b/>
        </w:rPr>
      </w:pPr>
    </w:p>
    <w:p>
      <w:pPr>
        <w:pStyle w:val="56"/>
        <w:kinsoku/>
        <w:wordWrap/>
        <w:overflowPunct/>
        <w:bidi w:val="0"/>
        <w:spacing w:before="0" w:after="0" w:line="560" w:lineRule="atLeast"/>
        <w:ind w:left="1391" w:hanging="1391" w:hangingChars="495"/>
        <w:textAlignment w:val="auto"/>
        <w:rPr>
          <w:rFonts w:hint="eastAsia"/>
          <w:b/>
        </w:rPr>
      </w:pPr>
    </w:p>
    <w:p>
      <w:pPr>
        <w:pStyle w:val="39"/>
        <w:rPr>
          <w:rFonts w:hint="eastAsia"/>
        </w:rPr>
      </w:pPr>
    </w:p>
    <w:p>
      <w:pPr>
        <w:pStyle w:val="56"/>
        <w:kinsoku/>
        <w:wordWrap/>
        <w:overflowPunct/>
        <w:bidi w:val="0"/>
        <w:spacing w:before="0" w:after="0" w:line="560" w:lineRule="atLeast"/>
        <w:ind w:left="1391" w:hanging="1391" w:hangingChars="495"/>
        <w:textAlignment w:val="auto"/>
        <w:rPr>
          <w:b/>
        </w:rPr>
      </w:pPr>
      <w:r>
        <w:rPr>
          <w:rFonts w:hint="eastAsia"/>
          <w:b/>
        </w:rPr>
        <w:t>采 购 人：</w:t>
      </w:r>
    </w:p>
    <w:p>
      <w:pPr>
        <w:pStyle w:val="56"/>
        <w:keepNext w:val="0"/>
        <w:keepLines w:val="0"/>
        <w:pageBreakBefore w:val="0"/>
        <w:kinsoku/>
        <w:wordWrap/>
        <w:overflowPunct/>
        <w:topLinePunct w:val="0"/>
        <w:autoSpaceDE/>
        <w:autoSpaceDN/>
        <w:bidi w:val="0"/>
        <w:adjustRightInd/>
        <w:spacing w:before="0" w:after="0" w:line="560" w:lineRule="atLeast"/>
        <w:ind w:left="0" w:hanging="1391" w:hangingChars="495"/>
        <w:jc w:val="left"/>
        <w:textAlignment w:val="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南部县国润排水有限公司</w:t>
      </w:r>
    </w:p>
    <w:p>
      <w:pPr>
        <w:pStyle w:val="56"/>
        <w:keepNext w:val="0"/>
        <w:keepLines w:val="0"/>
        <w:pageBreakBefore w:val="0"/>
        <w:kinsoku/>
        <w:wordWrap/>
        <w:overflowPunct/>
        <w:topLinePunct w:val="0"/>
        <w:autoSpaceDE/>
        <w:autoSpaceDN/>
        <w:bidi w:val="0"/>
        <w:adjustRightInd/>
        <w:spacing w:before="0" w:after="0" w:line="560" w:lineRule="atLeast"/>
        <w:ind w:left="0" w:hanging="1391" w:hangingChars="495"/>
        <w:jc w:val="left"/>
        <w:textAlignment w:val="auto"/>
        <w:rPr>
          <w:b/>
          <w:color w:val="000000" w:themeColor="text1"/>
          <w14:textFill>
            <w14:solidFill>
              <w14:schemeClr w14:val="tx1"/>
            </w14:solidFill>
          </w14:textFill>
        </w:rPr>
      </w:pPr>
      <w:r>
        <w:rPr>
          <w:rFonts w:hint="eastAsia"/>
          <w:b/>
          <w:color w:val="000000" w:themeColor="text1"/>
          <w14:textFill>
            <w14:solidFill>
              <w14:schemeClr w14:val="tx1"/>
            </w14:solidFill>
          </w14:textFill>
        </w:rPr>
        <w:t>仪陇国润排水有限公司</w:t>
      </w:r>
    </w:p>
    <w:p>
      <w:pPr>
        <w:pStyle w:val="56"/>
        <w:keepNext w:val="0"/>
        <w:keepLines w:val="0"/>
        <w:pageBreakBefore w:val="0"/>
        <w:kinsoku/>
        <w:wordWrap/>
        <w:overflowPunct/>
        <w:topLinePunct w:val="0"/>
        <w:autoSpaceDE/>
        <w:autoSpaceDN/>
        <w:bidi w:val="0"/>
        <w:adjustRightInd/>
        <w:spacing w:before="0" w:after="0" w:line="560" w:lineRule="atLeast"/>
        <w:ind w:left="0" w:hanging="1391" w:hangingChars="495"/>
        <w:jc w:val="left"/>
        <w:textAlignment w:val="auto"/>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南充国润排水有限公司</w:t>
      </w:r>
    </w:p>
    <w:p>
      <w:pPr>
        <w:pStyle w:val="56"/>
        <w:keepNext w:val="0"/>
        <w:keepLines w:val="0"/>
        <w:pageBreakBefore w:val="0"/>
        <w:kinsoku/>
        <w:wordWrap/>
        <w:overflowPunct/>
        <w:topLinePunct w:val="0"/>
        <w:autoSpaceDE/>
        <w:autoSpaceDN/>
        <w:bidi w:val="0"/>
        <w:adjustRightInd/>
        <w:spacing w:before="0" w:after="0" w:line="560" w:lineRule="atLeast"/>
        <w:ind w:left="0" w:hanging="1391" w:hangingChars="495"/>
        <w:jc w:val="left"/>
        <w:textAlignment w:val="auto"/>
        <w:rPr>
          <w:rFonts w:hint="eastAsia"/>
          <w:b/>
          <w:color w:val="000000" w:themeColor="text1"/>
          <w:lang w:eastAsia="zh-CN"/>
          <w14:textFill>
            <w14:solidFill>
              <w14:schemeClr w14:val="tx1"/>
            </w14:solidFill>
          </w14:textFill>
        </w:rPr>
      </w:pPr>
      <w:r>
        <w:rPr>
          <w:rFonts w:hint="eastAsia"/>
          <w:b/>
          <w:color w:val="000000" w:themeColor="text1"/>
          <w:lang w:eastAsia="zh-CN"/>
          <w14:textFill>
            <w14:solidFill>
              <w14:schemeClr w14:val="tx1"/>
            </w14:solidFill>
          </w14:textFill>
        </w:rPr>
        <w:t>南充国润荆溪排水有限公司</w:t>
      </w:r>
    </w:p>
    <w:p>
      <w:pPr>
        <w:pStyle w:val="56"/>
        <w:keepNext w:val="0"/>
        <w:keepLines w:val="0"/>
        <w:pageBreakBefore w:val="0"/>
        <w:kinsoku/>
        <w:wordWrap/>
        <w:overflowPunct/>
        <w:topLinePunct w:val="0"/>
        <w:autoSpaceDE/>
        <w:autoSpaceDN/>
        <w:bidi w:val="0"/>
        <w:adjustRightInd/>
        <w:spacing w:before="0" w:after="0" w:line="560" w:lineRule="atLeast"/>
        <w:ind w:left="0" w:hanging="1391" w:hangingChars="495"/>
        <w:jc w:val="left"/>
        <w:textAlignment w:val="auto"/>
        <w:rPr>
          <w:rFonts w:hint="eastAsia"/>
          <w:b/>
          <w:color w:val="000000" w:themeColor="text1"/>
          <w:lang w:eastAsia="zh-CN"/>
          <w14:textFill>
            <w14:solidFill>
              <w14:schemeClr w14:val="tx1"/>
            </w14:solidFill>
          </w14:textFill>
        </w:rPr>
      </w:pPr>
      <w:r>
        <w:rPr>
          <w:rFonts w:hint="eastAsia"/>
          <w:b/>
          <w:color w:val="000000" w:themeColor="text1"/>
          <w:lang w:eastAsia="zh-CN"/>
          <w14:textFill>
            <w14:solidFill>
              <w14:schemeClr w14:val="tx1"/>
            </w14:solidFill>
          </w14:textFill>
        </w:rPr>
        <w:t>遂宁国润排水有限公司</w:t>
      </w:r>
    </w:p>
    <w:p/>
    <w:p>
      <w:pPr>
        <w:pStyle w:val="39"/>
        <w:kinsoku/>
        <w:wordWrap/>
        <w:overflowPunct/>
        <w:bidi w:val="0"/>
        <w:spacing w:line="560" w:lineRule="atLeast"/>
        <w:textAlignment w:val="auto"/>
        <w:rPr>
          <w:rFonts w:hint="eastAsia"/>
        </w:rPr>
      </w:pPr>
    </w:p>
    <w:p>
      <w:pPr>
        <w:widowControl/>
        <w:kinsoku/>
        <w:wordWrap/>
        <w:overflowPunct/>
        <w:bidi w:val="0"/>
        <w:spacing w:line="560" w:lineRule="atLeast"/>
        <w:textAlignment w:val="auto"/>
        <w:rPr>
          <w:rFonts w:hint="eastAsia" w:ascii="Arial" w:hAnsi="Arial" w:cs="Arial"/>
          <w:b/>
          <w:color w:val="FF0000"/>
          <w:kern w:val="0"/>
          <w:sz w:val="28"/>
          <w:szCs w:val="28"/>
        </w:rPr>
      </w:pPr>
      <w:r>
        <w:rPr>
          <w:rFonts w:hint="eastAsia" w:ascii="Arial" w:hAnsi="Arial" w:cs="Arial"/>
          <w:b/>
          <w:color w:val="FF0000"/>
          <w:kern w:val="0"/>
          <w:sz w:val="28"/>
          <w:szCs w:val="28"/>
        </w:rPr>
        <w:t> </w:t>
      </w:r>
    </w:p>
    <w:p>
      <w:pPr>
        <w:pStyle w:val="2"/>
        <w:rPr>
          <w:rFonts w:hint="eastAsia" w:ascii="Arial" w:hAnsi="Arial" w:cs="Arial"/>
          <w:b/>
          <w:color w:val="FF0000"/>
          <w:kern w:val="0"/>
          <w:sz w:val="28"/>
          <w:szCs w:val="28"/>
        </w:rPr>
      </w:pPr>
    </w:p>
    <w:p>
      <w:pPr>
        <w:rPr>
          <w:rFonts w:hint="eastAsia"/>
        </w:rPr>
      </w:pPr>
    </w:p>
    <w:p>
      <w:pPr>
        <w:kinsoku/>
        <w:wordWrap/>
        <w:overflowPunct/>
        <w:bidi w:val="0"/>
        <w:spacing w:line="560" w:lineRule="atLeast"/>
        <w:jc w:val="center"/>
        <w:textAlignment w:val="auto"/>
        <w:rPr>
          <w:rFonts w:hint="eastAsia" w:ascii="仿宋" w:hAnsi="仿宋" w:eastAsia="仿宋" w:cs="仿宋"/>
          <w:b/>
          <w:bCs/>
          <w:color w:val="FF0000"/>
          <w:sz w:val="28"/>
          <w:szCs w:val="28"/>
        </w:rPr>
      </w:pPr>
      <w:r>
        <w:rPr>
          <w:rFonts w:hint="eastAsia" w:ascii="仿宋" w:hAnsi="仿宋" w:eastAsia="仿宋" w:cs="仿宋"/>
          <w:b/>
          <w:bCs/>
          <w:sz w:val="28"/>
          <w:szCs w:val="28"/>
        </w:rPr>
        <w:t>日    期：</w:t>
      </w:r>
      <w:r>
        <w:rPr>
          <w:rFonts w:hint="eastAsia" w:ascii="仿宋" w:hAnsi="仿宋" w:eastAsia="仿宋" w:cs="仿宋"/>
          <w:b/>
          <w:bCs/>
          <w:color w:val="auto"/>
          <w:sz w:val="28"/>
          <w:szCs w:val="28"/>
        </w:rPr>
        <w:t>2021年5月</w:t>
      </w:r>
      <w:r>
        <w:rPr>
          <w:rFonts w:hint="eastAsia" w:ascii="仿宋" w:hAnsi="仿宋" w:eastAsia="仿宋" w:cs="仿宋"/>
          <w:b/>
          <w:bCs/>
          <w:color w:val="auto"/>
          <w:sz w:val="28"/>
          <w:szCs w:val="28"/>
          <w:lang w:val="en-US" w:eastAsia="zh-CN"/>
        </w:rPr>
        <w:t>31</w:t>
      </w:r>
      <w:r>
        <w:rPr>
          <w:rFonts w:hint="eastAsia" w:ascii="仿宋" w:hAnsi="仿宋" w:eastAsia="仿宋" w:cs="仿宋"/>
          <w:b/>
          <w:bCs/>
          <w:color w:val="auto"/>
          <w:sz w:val="28"/>
          <w:szCs w:val="28"/>
        </w:rPr>
        <w:t>日</w:t>
      </w:r>
    </w:p>
    <w:p>
      <w:pPr>
        <w:pStyle w:val="2"/>
        <w:kinsoku/>
        <w:wordWrap/>
        <w:overflowPunct/>
        <w:bidi w:val="0"/>
        <w:spacing w:line="560" w:lineRule="atLeast"/>
        <w:textAlignment w:val="auto"/>
      </w:pPr>
      <w:r>
        <w:br w:type="page"/>
      </w:r>
    </w:p>
    <w:p>
      <w:pPr>
        <w:kinsoku/>
        <w:wordWrap/>
        <w:overflowPunct/>
        <w:bidi w:val="0"/>
        <w:spacing w:line="560" w:lineRule="atLeast"/>
        <w:jc w:val="center"/>
        <w:textAlignment w:val="auto"/>
        <w:rPr>
          <w:rFonts w:ascii="黑体" w:hAnsi="Arial" w:eastAsia="黑体"/>
          <w:sz w:val="32"/>
          <w:szCs w:val="32"/>
        </w:rPr>
      </w:pPr>
      <w:r>
        <w:rPr>
          <w:rFonts w:hint="eastAsia" w:ascii="黑体" w:hAnsi="Arial" w:eastAsia="黑体"/>
          <w:sz w:val="32"/>
          <w:szCs w:val="32"/>
        </w:rPr>
        <w:t>目 录</w:t>
      </w:r>
    </w:p>
    <w:p>
      <w:pPr>
        <w:kinsoku/>
        <w:wordWrap/>
        <w:overflowPunct/>
        <w:bidi w:val="0"/>
        <w:spacing w:line="560" w:lineRule="atLeast"/>
        <w:jc w:val="center"/>
        <w:textAlignment w:val="auto"/>
        <w:rPr>
          <w:rFonts w:ascii="黑体" w:hAnsi="Arial" w:eastAsia="黑体"/>
          <w:sz w:val="32"/>
          <w:szCs w:val="32"/>
        </w:rPr>
      </w:pPr>
    </w:p>
    <w:p>
      <w:pPr>
        <w:pStyle w:val="37"/>
        <w:tabs>
          <w:tab w:val="right" w:leader="dot" w:pos="8787"/>
        </w:tabs>
        <w:kinsoku/>
        <w:wordWrap/>
        <w:overflowPunct/>
        <w:bidi w:val="0"/>
        <w:spacing w:line="560" w:lineRule="atLeast"/>
        <w:ind w:left="420"/>
        <w:textAlignment w:val="auto"/>
      </w:pPr>
      <w:r>
        <w:fldChar w:fldCharType="begin"/>
      </w:r>
      <w:r>
        <w:instrText xml:space="preserve"> TOC \o "1-2" \h \z \u </w:instrText>
      </w:r>
      <w:r>
        <w:fldChar w:fldCharType="separate"/>
      </w:r>
    </w:p>
    <w:p>
      <w:pPr>
        <w:numPr>
          <w:ilvl w:val="0"/>
          <w:numId w:val="3"/>
        </w:numPr>
        <w:kinsoku/>
        <w:wordWrap/>
        <w:overflowPunct/>
        <w:bidi w:val="0"/>
        <w:spacing w:line="560" w:lineRule="atLeast"/>
        <w:jc w:val="left"/>
        <w:textAlignment w:val="auto"/>
        <w:rPr>
          <w:sz w:val="28"/>
          <w:szCs w:val="28"/>
        </w:rPr>
      </w:pPr>
      <w:r>
        <w:rPr>
          <w:rFonts w:ascii="Arial" w:hAnsi="Arial" w:eastAsia="黑体"/>
          <w:bCs/>
          <w:szCs w:val="28"/>
        </w:rPr>
        <w:fldChar w:fldCharType="end"/>
      </w:r>
      <w:bookmarkStart w:id="0" w:name="_Toc427150237"/>
      <w:bookmarkStart w:id="1" w:name="_Toc20766"/>
      <w:r>
        <w:rPr>
          <w:rFonts w:hint="eastAsia" w:ascii="Arial" w:hAnsi="Arial" w:eastAsia="黑体"/>
          <w:bCs/>
          <w:sz w:val="28"/>
          <w:szCs w:val="28"/>
        </w:rPr>
        <w:t xml:space="preserve">    </w:t>
      </w:r>
      <w:r>
        <w:rPr>
          <w:rFonts w:hint="eastAsia" w:ascii="Arial" w:hAnsi="Arial" w:eastAsia="黑体"/>
          <w:bCs/>
          <w:sz w:val="28"/>
          <w:szCs w:val="28"/>
          <w:lang w:val="en-US" w:eastAsia="zh-CN"/>
        </w:rPr>
        <w:t>竞争性谈判公告</w:t>
      </w:r>
    </w:p>
    <w:p>
      <w:pPr>
        <w:numPr>
          <w:ilvl w:val="0"/>
          <w:numId w:val="3"/>
        </w:numPr>
        <w:kinsoku/>
        <w:wordWrap/>
        <w:overflowPunct/>
        <w:bidi w:val="0"/>
        <w:spacing w:line="560" w:lineRule="atLeast"/>
        <w:jc w:val="left"/>
        <w:textAlignment w:val="auto"/>
        <w:rPr>
          <w:sz w:val="28"/>
          <w:szCs w:val="28"/>
        </w:rPr>
      </w:pPr>
      <w:r>
        <w:rPr>
          <w:rFonts w:hint="eastAsia" w:ascii="Arial" w:hAnsi="Arial" w:eastAsia="黑体"/>
          <w:bCs/>
          <w:sz w:val="28"/>
          <w:szCs w:val="28"/>
        </w:rPr>
        <w:t xml:space="preserve">    竞争性谈判供应商须知</w:t>
      </w:r>
    </w:p>
    <w:p>
      <w:pPr>
        <w:numPr>
          <w:ilvl w:val="0"/>
          <w:numId w:val="3"/>
        </w:numPr>
        <w:kinsoku/>
        <w:wordWrap/>
        <w:overflowPunct/>
        <w:bidi w:val="0"/>
        <w:spacing w:line="560" w:lineRule="atLeast"/>
        <w:jc w:val="left"/>
        <w:textAlignment w:val="auto"/>
        <w:rPr>
          <w:sz w:val="28"/>
          <w:szCs w:val="28"/>
        </w:rPr>
      </w:pPr>
      <w:r>
        <w:rPr>
          <w:rFonts w:hint="eastAsia" w:ascii="Arial" w:hAnsi="Arial" w:eastAsia="黑体"/>
          <w:bCs/>
          <w:sz w:val="28"/>
          <w:szCs w:val="28"/>
        </w:rPr>
        <w:t xml:space="preserve">    技术服务要求</w:t>
      </w:r>
    </w:p>
    <w:p>
      <w:pPr>
        <w:numPr>
          <w:ilvl w:val="0"/>
          <w:numId w:val="3"/>
        </w:numPr>
        <w:kinsoku/>
        <w:wordWrap/>
        <w:overflowPunct/>
        <w:bidi w:val="0"/>
        <w:spacing w:line="560" w:lineRule="atLeast"/>
        <w:jc w:val="left"/>
        <w:textAlignment w:val="auto"/>
        <w:rPr>
          <w:sz w:val="28"/>
          <w:szCs w:val="28"/>
        </w:rPr>
      </w:pPr>
      <w:r>
        <w:rPr>
          <w:rFonts w:hint="eastAsia" w:ascii="Arial" w:hAnsi="Arial" w:eastAsia="黑体"/>
          <w:bCs/>
          <w:sz w:val="28"/>
          <w:szCs w:val="28"/>
        </w:rPr>
        <w:t xml:space="preserve">    竞争性谈判响应文件格式</w:t>
      </w:r>
    </w:p>
    <w:p>
      <w:pPr>
        <w:numPr>
          <w:ilvl w:val="0"/>
          <w:numId w:val="3"/>
        </w:numPr>
        <w:kinsoku/>
        <w:wordWrap/>
        <w:overflowPunct/>
        <w:bidi w:val="0"/>
        <w:spacing w:line="560" w:lineRule="atLeast"/>
        <w:jc w:val="left"/>
        <w:textAlignment w:val="auto"/>
        <w:rPr>
          <w:sz w:val="28"/>
          <w:szCs w:val="28"/>
        </w:rPr>
      </w:pPr>
      <w:r>
        <w:rPr>
          <w:rFonts w:hint="eastAsia" w:ascii="Arial" w:hAnsi="Arial" w:eastAsia="黑体"/>
          <w:bCs/>
          <w:sz w:val="28"/>
          <w:szCs w:val="28"/>
        </w:rPr>
        <w:t xml:space="preserve">    合同主要条款</w:t>
      </w:r>
      <w:r>
        <w:rPr>
          <w:rFonts w:hint="eastAsia" w:ascii="Arial" w:hAnsi="Arial" w:eastAsia="黑体"/>
          <w:bCs/>
          <w:sz w:val="28"/>
          <w:szCs w:val="28"/>
          <w:lang w:eastAsia="zh-CN"/>
        </w:rPr>
        <w:t>（非最终版）</w:t>
      </w:r>
    </w:p>
    <w:bookmarkEnd w:id="0"/>
    <w:bookmarkEnd w:id="1"/>
    <w:p>
      <w:pPr>
        <w:kinsoku/>
        <w:wordWrap/>
        <w:overflowPunct/>
        <w:bidi w:val="0"/>
        <w:spacing w:line="560" w:lineRule="atLeast"/>
        <w:jc w:val="center"/>
        <w:textAlignment w:val="auto"/>
        <w:rPr>
          <w:rFonts w:ascii="长城小标宋体" w:hAnsi="长城小标宋体" w:eastAsia="长城小标宋体" w:cs="长城小标宋体"/>
          <w:b/>
          <w:bCs/>
          <w:sz w:val="36"/>
          <w:szCs w:val="36"/>
        </w:rPr>
      </w:pPr>
      <w:bookmarkStart w:id="2" w:name="_Toc15116"/>
      <w:bookmarkStart w:id="3" w:name="_Toc427150238"/>
      <w:bookmarkStart w:id="4" w:name="_Toc15212"/>
    </w:p>
    <w:p>
      <w:pPr>
        <w:kinsoku/>
        <w:wordWrap/>
        <w:overflowPunct/>
        <w:bidi w:val="0"/>
        <w:spacing w:line="560" w:lineRule="atLeast"/>
        <w:jc w:val="center"/>
        <w:textAlignment w:val="auto"/>
        <w:rPr>
          <w:rFonts w:ascii="长城小标宋体" w:hAnsi="长城小标宋体" w:eastAsia="长城小标宋体" w:cs="长城小标宋体"/>
          <w:b/>
          <w:bCs/>
          <w:sz w:val="36"/>
          <w:szCs w:val="36"/>
        </w:rPr>
      </w:pPr>
    </w:p>
    <w:p>
      <w:pPr>
        <w:kinsoku/>
        <w:wordWrap/>
        <w:overflowPunct/>
        <w:bidi w:val="0"/>
        <w:spacing w:line="560" w:lineRule="atLeast"/>
        <w:jc w:val="center"/>
        <w:textAlignment w:val="auto"/>
        <w:rPr>
          <w:rFonts w:ascii="长城小标宋体" w:hAnsi="长城小标宋体" w:eastAsia="长城小标宋体" w:cs="长城小标宋体"/>
          <w:b/>
          <w:bCs/>
          <w:sz w:val="36"/>
          <w:szCs w:val="36"/>
        </w:rPr>
      </w:pPr>
    </w:p>
    <w:p>
      <w:pPr>
        <w:kinsoku/>
        <w:wordWrap/>
        <w:overflowPunct/>
        <w:bidi w:val="0"/>
        <w:spacing w:line="560" w:lineRule="atLeast"/>
        <w:jc w:val="center"/>
        <w:textAlignment w:val="auto"/>
        <w:rPr>
          <w:rFonts w:ascii="长城小标宋体" w:hAnsi="长城小标宋体" w:eastAsia="长城小标宋体" w:cs="长城小标宋体"/>
          <w:b/>
          <w:bCs/>
          <w:sz w:val="36"/>
          <w:szCs w:val="36"/>
        </w:rPr>
      </w:pPr>
    </w:p>
    <w:p>
      <w:pPr>
        <w:kinsoku/>
        <w:wordWrap/>
        <w:overflowPunct/>
        <w:bidi w:val="0"/>
        <w:spacing w:line="560" w:lineRule="atLeast"/>
        <w:jc w:val="center"/>
        <w:textAlignment w:val="auto"/>
        <w:rPr>
          <w:rFonts w:ascii="长城小标宋体" w:hAnsi="长城小标宋体" w:eastAsia="长城小标宋体" w:cs="长城小标宋体"/>
          <w:b/>
          <w:bCs/>
          <w:sz w:val="36"/>
          <w:szCs w:val="36"/>
        </w:rPr>
      </w:pPr>
    </w:p>
    <w:p>
      <w:pPr>
        <w:kinsoku/>
        <w:wordWrap/>
        <w:overflowPunct/>
        <w:bidi w:val="0"/>
        <w:spacing w:line="560" w:lineRule="atLeast"/>
        <w:jc w:val="center"/>
        <w:textAlignment w:val="auto"/>
        <w:rPr>
          <w:rFonts w:ascii="长城小标宋体" w:hAnsi="长城小标宋体" w:eastAsia="长城小标宋体" w:cs="长城小标宋体"/>
          <w:b/>
          <w:bCs/>
          <w:sz w:val="36"/>
          <w:szCs w:val="36"/>
        </w:rPr>
      </w:pPr>
    </w:p>
    <w:p>
      <w:pPr>
        <w:kinsoku/>
        <w:wordWrap/>
        <w:overflowPunct/>
        <w:bidi w:val="0"/>
        <w:spacing w:line="560" w:lineRule="atLeast"/>
        <w:jc w:val="center"/>
        <w:textAlignment w:val="auto"/>
        <w:rPr>
          <w:rFonts w:ascii="长城小标宋体" w:hAnsi="长城小标宋体" w:eastAsia="长城小标宋体" w:cs="长城小标宋体"/>
          <w:b/>
          <w:bCs/>
          <w:sz w:val="36"/>
          <w:szCs w:val="36"/>
        </w:rPr>
      </w:pPr>
    </w:p>
    <w:p>
      <w:pPr>
        <w:kinsoku/>
        <w:wordWrap/>
        <w:overflowPunct/>
        <w:bidi w:val="0"/>
        <w:spacing w:line="560" w:lineRule="atLeast"/>
        <w:jc w:val="center"/>
        <w:textAlignment w:val="auto"/>
        <w:rPr>
          <w:rFonts w:ascii="长城小标宋体" w:hAnsi="长城小标宋体" w:eastAsia="长城小标宋体" w:cs="长城小标宋体"/>
          <w:b/>
          <w:bCs/>
          <w:sz w:val="36"/>
          <w:szCs w:val="36"/>
        </w:rPr>
      </w:pPr>
    </w:p>
    <w:p>
      <w:pPr>
        <w:kinsoku/>
        <w:wordWrap/>
        <w:overflowPunct/>
        <w:bidi w:val="0"/>
        <w:spacing w:line="560" w:lineRule="atLeast"/>
        <w:jc w:val="center"/>
        <w:textAlignment w:val="auto"/>
        <w:rPr>
          <w:rFonts w:ascii="长城小标宋体" w:hAnsi="长城小标宋体" w:eastAsia="长城小标宋体" w:cs="长城小标宋体"/>
          <w:b/>
          <w:bCs/>
          <w:sz w:val="36"/>
          <w:szCs w:val="36"/>
        </w:rPr>
      </w:pPr>
    </w:p>
    <w:p>
      <w:pPr>
        <w:kinsoku/>
        <w:wordWrap/>
        <w:overflowPunct/>
        <w:bidi w:val="0"/>
        <w:spacing w:line="560" w:lineRule="atLeast"/>
        <w:jc w:val="center"/>
        <w:textAlignment w:val="auto"/>
        <w:rPr>
          <w:rFonts w:ascii="长城小标宋体" w:hAnsi="长城小标宋体" w:eastAsia="长城小标宋体" w:cs="长城小标宋体"/>
          <w:b/>
          <w:bCs/>
          <w:sz w:val="36"/>
          <w:szCs w:val="36"/>
        </w:rPr>
      </w:pPr>
    </w:p>
    <w:p>
      <w:pPr>
        <w:kinsoku/>
        <w:wordWrap/>
        <w:overflowPunct/>
        <w:bidi w:val="0"/>
        <w:spacing w:line="560" w:lineRule="atLeast"/>
        <w:jc w:val="center"/>
        <w:textAlignment w:val="auto"/>
        <w:rPr>
          <w:rFonts w:ascii="长城小标宋体" w:hAnsi="长城小标宋体" w:eastAsia="长城小标宋体" w:cs="长城小标宋体"/>
          <w:b/>
          <w:bCs/>
          <w:sz w:val="36"/>
          <w:szCs w:val="36"/>
        </w:rPr>
      </w:pPr>
    </w:p>
    <w:p>
      <w:pPr>
        <w:kinsoku/>
        <w:wordWrap/>
        <w:overflowPunct/>
        <w:bidi w:val="0"/>
        <w:spacing w:line="560" w:lineRule="atLeast"/>
        <w:jc w:val="center"/>
        <w:textAlignment w:val="auto"/>
        <w:rPr>
          <w:rFonts w:ascii="长城小标宋体" w:hAnsi="长城小标宋体" w:eastAsia="长城小标宋体" w:cs="长城小标宋体"/>
          <w:b/>
          <w:bCs/>
          <w:sz w:val="36"/>
          <w:szCs w:val="36"/>
        </w:rPr>
      </w:pPr>
    </w:p>
    <w:p>
      <w:pPr>
        <w:pStyle w:val="2"/>
        <w:rPr>
          <w:rFonts w:ascii="长城小标宋体" w:hAnsi="长城小标宋体" w:eastAsia="长城小标宋体" w:cs="长城小标宋体"/>
          <w:b/>
          <w:bCs/>
          <w:sz w:val="36"/>
          <w:szCs w:val="36"/>
        </w:rPr>
      </w:pPr>
    </w:p>
    <w:p>
      <w:pPr>
        <w:rPr>
          <w:rFonts w:ascii="长城小标宋体" w:hAnsi="长城小标宋体" w:eastAsia="长城小标宋体" w:cs="长城小标宋体"/>
          <w:b/>
          <w:bCs/>
          <w:sz w:val="36"/>
          <w:szCs w:val="36"/>
        </w:rPr>
      </w:pPr>
    </w:p>
    <w:p>
      <w:pPr>
        <w:pStyle w:val="2"/>
      </w:pPr>
    </w:p>
    <w:p>
      <w:pPr>
        <w:kinsoku/>
        <w:wordWrap/>
        <w:overflowPunct/>
        <w:bidi w:val="0"/>
        <w:spacing w:line="560" w:lineRule="atLeast"/>
        <w:jc w:val="center"/>
        <w:textAlignment w:val="auto"/>
        <w:rPr>
          <w:rFonts w:eastAsia="长城小标宋体"/>
          <w:b/>
          <w:color w:val="000000"/>
          <w:sz w:val="44"/>
          <w:szCs w:val="44"/>
        </w:rPr>
      </w:pPr>
      <w:r>
        <w:rPr>
          <w:rFonts w:eastAsia="长城小标宋体"/>
          <w:b/>
          <w:color w:val="000000"/>
          <w:sz w:val="44"/>
          <w:szCs w:val="44"/>
        </w:rPr>
        <w:t>第一部分  竞争性谈判公告</w:t>
      </w:r>
    </w:p>
    <w:p>
      <w:pPr>
        <w:kinsoku/>
        <w:wordWrap/>
        <w:overflowPunct/>
        <w:bidi w:val="0"/>
        <w:snapToGrid w:val="0"/>
        <w:spacing w:line="560" w:lineRule="atLeast"/>
        <w:ind w:firstLine="560" w:firstLineChars="200"/>
        <w:jc w:val="left"/>
        <w:textAlignment w:val="auto"/>
        <w:rPr>
          <w:rFonts w:ascii="仿宋_GB2312" w:hAnsi="仿宋" w:eastAsia="仿宋_GB2312" w:cs="宋体"/>
          <w:color w:val="000000"/>
          <w:kern w:val="0"/>
          <w:sz w:val="28"/>
          <w:szCs w:val="28"/>
        </w:rPr>
      </w:pPr>
    </w:p>
    <w:p>
      <w:pPr>
        <w:pStyle w:val="56"/>
        <w:kinsoku/>
        <w:wordWrap/>
        <w:overflowPunct/>
        <w:bidi w:val="0"/>
        <w:spacing w:before="0" w:after="0" w:line="560" w:lineRule="atLeast"/>
        <w:ind w:firstLine="560" w:firstLineChars="200"/>
        <w:jc w:val="left"/>
        <w:textAlignment w:val="auto"/>
        <w:rPr>
          <w:rFonts w:ascii="仿宋_GB2312" w:hAnsi="仿宋" w:eastAsia="仿宋_GB2312"/>
          <w:bCs/>
        </w:rPr>
      </w:pPr>
      <w:r>
        <w:rPr>
          <w:rFonts w:hint="eastAsia" w:ascii="仿宋" w:hAnsi="仿宋" w:eastAsia="仿宋" w:cs="仿宋"/>
          <w:bCs/>
          <w:color w:val="auto"/>
          <w:sz w:val="28"/>
          <w:szCs w:val="28"/>
        </w:rPr>
        <w:t>南部县国润排水有限公司、仪陇国润排水有限公司、南充国润排水有限公司、</w:t>
      </w:r>
      <w:r>
        <w:rPr>
          <w:rFonts w:hint="eastAsia" w:ascii="仿宋" w:hAnsi="仿宋" w:eastAsia="仿宋" w:cs="仿宋"/>
          <w:b w:val="0"/>
          <w:bCs w:val="0"/>
          <w:color w:val="auto"/>
          <w:sz w:val="28"/>
          <w:szCs w:val="28"/>
          <w:lang w:eastAsia="zh-CN"/>
        </w:rPr>
        <w:t>南充国润荆溪排水有限公司、</w:t>
      </w:r>
      <w:r>
        <w:rPr>
          <w:rFonts w:hint="eastAsia" w:ascii="仿宋" w:hAnsi="仿宋" w:eastAsia="仿宋" w:cs="仿宋"/>
          <w:bCs/>
          <w:color w:val="auto"/>
          <w:sz w:val="28"/>
          <w:szCs w:val="28"/>
        </w:rPr>
        <w:t>遂宁国润排水有限公司</w:t>
      </w:r>
      <w:r>
        <w:rPr>
          <w:rFonts w:hint="eastAsia" w:ascii="仿宋_GB2312" w:hAnsi="仿宋" w:eastAsia="仿宋_GB2312"/>
          <w:bCs/>
        </w:rPr>
        <w:t>因各公司业务需要，拟启动生产运营数据、视频监控对接服务项目供应商的选聘工作，本次采购将通过公开竞争性谈判方式选聘，现将有关事项通知如下：</w:t>
      </w:r>
    </w:p>
    <w:p>
      <w:pPr>
        <w:pStyle w:val="56"/>
        <w:kinsoku/>
        <w:wordWrap/>
        <w:overflowPunct/>
        <w:bidi w:val="0"/>
        <w:spacing w:before="0" w:after="0" w:line="560" w:lineRule="atLeast"/>
        <w:ind w:left="1975" w:leftChars="-200" w:hanging="2395" w:hangingChars="852"/>
        <w:textAlignment w:val="auto"/>
        <w:rPr>
          <w:b/>
          <w:color w:val="000000"/>
        </w:rPr>
      </w:pPr>
      <w:r>
        <w:rPr>
          <w:rFonts w:hint="eastAsia"/>
          <w:b/>
          <w:color w:val="000000"/>
        </w:rPr>
        <w:t>   一、报名时间：</w:t>
      </w:r>
    </w:p>
    <w:p>
      <w:pPr>
        <w:pStyle w:val="56"/>
        <w:kinsoku/>
        <w:wordWrap/>
        <w:overflowPunct/>
        <w:bidi w:val="0"/>
        <w:spacing w:before="0" w:after="0" w:line="560" w:lineRule="atLeast"/>
        <w:textAlignment w:val="auto"/>
        <w:rPr>
          <w:rFonts w:ascii="仿宋_GB2312" w:hAnsi="仿宋" w:eastAsia="仿宋_GB2312" w:cs="Times New Roman"/>
          <w:bCs/>
          <w:color w:val="000000" w:themeColor="text1"/>
          <w:kern w:val="2"/>
          <w14:textFill>
            <w14:solidFill>
              <w14:schemeClr w14:val="tx1"/>
            </w14:solidFill>
          </w14:textFill>
        </w:rPr>
      </w:pPr>
      <w:r>
        <w:rPr>
          <w:rFonts w:hint="eastAsia" w:ascii="仿宋_GB2312" w:hAnsi="仿宋" w:eastAsia="仿宋_GB2312" w:cs="Times New Roman"/>
          <w:bCs/>
          <w:color w:val="000000" w:themeColor="text1"/>
          <w:kern w:val="2"/>
          <w14:textFill>
            <w14:solidFill>
              <w14:schemeClr w14:val="tx1"/>
            </w14:solidFill>
          </w14:textFill>
        </w:rPr>
        <w:t>2021年</w:t>
      </w:r>
      <w:r>
        <w:rPr>
          <w:rFonts w:hint="eastAsia" w:ascii="仿宋_GB2312" w:hAnsi="仿宋" w:eastAsia="仿宋_GB2312" w:cs="Times New Roman"/>
          <w:bCs/>
          <w:color w:val="000000" w:themeColor="text1"/>
          <w:kern w:val="2"/>
          <w:lang w:val="en-US" w:eastAsia="zh-CN"/>
          <w14:textFill>
            <w14:solidFill>
              <w14:schemeClr w14:val="tx1"/>
            </w14:solidFill>
          </w14:textFill>
        </w:rPr>
        <w:t xml:space="preserve"> 5</w:t>
      </w:r>
      <w:r>
        <w:rPr>
          <w:rFonts w:hint="eastAsia" w:ascii="仿宋_GB2312" w:hAnsi="仿宋" w:eastAsia="仿宋_GB2312" w:cs="Times New Roman"/>
          <w:bCs/>
          <w:color w:val="000000" w:themeColor="text1"/>
          <w:kern w:val="2"/>
          <w14:textFill>
            <w14:solidFill>
              <w14:schemeClr w14:val="tx1"/>
            </w14:solidFill>
          </w14:textFill>
        </w:rPr>
        <w:t>月</w:t>
      </w:r>
      <w:r>
        <w:rPr>
          <w:rFonts w:hint="eastAsia" w:ascii="仿宋_GB2312" w:hAnsi="仿宋" w:eastAsia="仿宋_GB2312" w:cs="Times New Roman"/>
          <w:bCs/>
          <w:color w:val="000000" w:themeColor="text1"/>
          <w:kern w:val="2"/>
          <w:lang w:val="en-US" w:eastAsia="zh-CN"/>
          <w14:textFill>
            <w14:solidFill>
              <w14:schemeClr w14:val="tx1"/>
            </w14:solidFill>
          </w14:textFill>
        </w:rPr>
        <w:t xml:space="preserve">31 </w:t>
      </w:r>
      <w:r>
        <w:rPr>
          <w:rFonts w:hint="eastAsia" w:ascii="仿宋_GB2312" w:hAnsi="仿宋" w:eastAsia="仿宋_GB2312" w:cs="Times New Roman"/>
          <w:bCs/>
          <w:color w:val="000000" w:themeColor="text1"/>
          <w:kern w:val="2"/>
          <w14:textFill>
            <w14:solidFill>
              <w14:schemeClr w14:val="tx1"/>
            </w14:solidFill>
          </w14:textFill>
        </w:rPr>
        <w:t>日- 2021年</w:t>
      </w:r>
      <w:r>
        <w:rPr>
          <w:rFonts w:hint="eastAsia" w:ascii="仿宋_GB2312" w:hAnsi="仿宋" w:eastAsia="仿宋_GB2312" w:cs="Times New Roman"/>
          <w:bCs/>
          <w:color w:val="000000" w:themeColor="text1"/>
          <w:kern w:val="2"/>
          <w:lang w:val="en-US" w:eastAsia="zh-CN"/>
          <w14:textFill>
            <w14:solidFill>
              <w14:schemeClr w14:val="tx1"/>
            </w14:solidFill>
          </w14:textFill>
        </w:rPr>
        <w:t xml:space="preserve"> 6</w:t>
      </w:r>
      <w:r>
        <w:rPr>
          <w:rFonts w:hint="eastAsia" w:ascii="仿宋_GB2312" w:hAnsi="仿宋" w:eastAsia="仿宋_GB2312" w:cs="Times New Roman"/>
          <w:bCs/>
          <w:color w:val="000000" w:themeColor="text1"/>
          <w:kern w:val="2"/>
          <w14:textFill>
            <w14:solidFill>
              <w14:schemeClr w14:val="tx1"/>
            </w14:solidFill>
          </w14:textFill>
        </w:rPr>
        <w:t>月</w:t>
      </w:r>
      <w:r>
        <w:rPr>
          <w:rFonts w:hint="eastAsia" w:ascii="仿宋_GB2312" w:hAnsi="仿宋" w:eastAsia="仿宋_GB2312" w:cs="Times New Roman"/>
          <w:bCs/>
          <w:color w:val="000000" w:themeColor="text1"/>
          <w:kern w:val="2"/>
          <w:lang w:val="en-US" w:eastAsia="zh-CN"/>
          <w14:textFill>
            <w14:solidFill>
              <w14:schemeClr w14:val="tx1"/>
            </w14:solidFill>
          </w14:textFill>
        </w:rPr>
        <w:t>6</w:t>
      </w:r>
      <w:r>
        <w:rPr>
          <w:rFonts w:hint="eastAsia" w:ascii="仿宋_GB2312" w:hAnsi="仿宋" w:eastAsia="仿宋_GB2312" w:cs="Times New Roman"/>
          <w:bCs/>
          <w:color w:val="000000" w:themeColor="text1"/>
          <w:kern w:val="2"/>
          <w14:textFill>
            <w14:solidFill>
              <w14:schemeClr w14:val="tx1"/>
            </w14:solidFill>
          </w14:textFill>
        </w:rPr>
        <w:t>日17:00</w:t>
      </w:r>
    </w:p>
    <w:p>
      <w:pPr>
        <w:pStyle w:val="56"/>
        <w:kinsoku/>
        <w:wordWrap/>
        <w:overflowPunct/>
        <w:bidi w:val="0"/>
        <w:spacing w:before="0" w:after="0" w:line="560" w:lineRule="atLeast"/>
        <w:ind w:left="1986" w:leftChars="-200" w:hanging="2406" w:hangingChars="856"/>
        <w:textAlignment w:val="auto"/>
        <w:rPr>
          <w:b/>
          <w:color w:val="000000"/>
        </w:rPr>
      </w:pPr>
      <w:r>
        <w:rPr>
          <w:rFonts w:hint="eastAsia"/>
          <w:b/>
          <w:color w:val="000000"/>
        </w:rPr>
        <w:t>    二、报名地点：</w:t>
      </w:r>
    </w:p>
    <w:p>
      <w:pPr>
        <w:pStyle w:val="56"/>
        <w:kinsoku/>
        <w:wordWrap/>
        <w:overflowPunct/>
        <w:bidi w:val="0"/>
        <w:spacing w:before="0" w:after="0" w:line="560" w:lineRule="atLeast"/>
        <w:ind w:left="-1470" w:leftChars="-700" w:firstLine="1960" w:firstLineChars="700"/>
        <w:textAlignment w:val="auto"/>
        <w:rPr>
          <w:rFonts w:hint="eastAsia"/>
          <w:b w:val="0"/>
          <w:bCs/>
          <w:color w:val="000000"/>
          <w:lang w:eastAsia="zh-CN"/>
        </w:rPr>
      </w:pPr>
      <w:r>
        <w:rPr>
          <w:rFonts w:hint="eastAsia" w:ascii="仿宋" w:hAnsi="仿宋" w:eastAsia="仿宋" w:cs="仿宋"/>
          <w:b w:val="0"/>
          <w:bCs/>
          <w:color w:val="000000"/>
          <w:lang w:eastAsia="zh-CN"/>
        </w:rPr>
        <w:t>南充市南部县涌泉村南部县国润排水有限公司</w:t>
      </w:r>
    </w:p>
    <w:p>
      <w:pPr>
        <w:pStyle w:val="56"/>
        <w:kinsoku/>
        <w:wordWrap/>
        <w:overflowPunct/>
        <w:bidi w:val="0"/>
        <w:spacing w:before="0" w:after="0" w:line="560" w:lineRule="atLeast"/>
        <w:ind w:left="-1470" w:leftChars="-700" w:firstLine="1405" w:firstLineChars="500"/>
        <w:textAlignment w:val="auto"/>
        <w:rPr>
          <w:b/>
          <w:color w:val="000000"/>
        </w:rPr>
      </w:pPr>
      <w:r>
        <w:rPr>
          <w:rFonts w:hint="eastAsia"/>
          <w:b/>
          <w:color w:val="000000"/>
        </w:rPr>
        <w:t>三、项目名称：</w:t>
      </w:r>
    </w:p>
    <w:p>
      <w:pPr>
        <w:pStyle w:val="56"/>
        <w:kinsoku/>
        <w:wordWrap/>
        <w:overflowPunct/>
        <w:bidi w:val="0"/>
        <w:spacing w:before="0" w:after="0" w:line="560" w:lineRule="atLeast"/>
        <w:ind w:left="-63" w:leftChars="-30" w:firstLine="560" w:firstLineChars="200"/>
        <w:textAlignment w:val="auto"/>
        <w:rPr>
          <w:rFonts w:hint="eastAsia" w:ascii="仿宋" w:hAnsi="仿宋" w:eastAsia="仿宋" w:cs="仿宋"/>
          <w:bCs/>
          <w:kern w:val="2"/>
        </w:rPr>
      </w:pPr>
      <w:r>
        <w:rPr>
          <w:rFonts w:hint="eastAsia" w:ascii="仿宋" w:hAnsi="仿宋" w:eastAsia="仿宋" w:cs="仿宋"/>
          <w:bCs/>
          <w:kern w:val="2"/>
        </w:rPr>
        <w:t>生产运营数据、视频监控对接服务采购项目</w:t>
      </w:r>
    </w:p>
    <w:p>
      <w:pPr>
        <w:kinsoku/>
        <w:wordWrap/>
        <w:overflowPunct/>
        <w:bidi w:val="0"/>
        <w:spacing w:line="560" w:lineRule="atLeast"/>
        <w:textAlignment w:val="auto"/>
        <w:rPr>
          <w:rFonts w:ascii="仿宋_GB2312" w:hAnsi="仿宋" w:eastAsia="仿宋_GB2312"/>
          <w:bCs/>
          <w:color w:val="000000"/>
          <w:sz w:val="28"/>
          <w:szCs w:val="28"/>
        </w:rPr>
      </w:pPr>
      <w:r>
        <w:rPr>
          <w:rFonts w:hint="eastAsia" w:ascii="Arial" w:hAnsi="Arial" w:cs="Arial"/>
          <w:b/>
          <w:color w:val="000000"/>
          <w:kern w:val="0"/>
          <w:sz w:val="28"/>
          <w:szCs w:val="28"/>
        </w:rPr>
        <w:t>四、采 购 人：</w:t>
      </w:r>
      <w:r>
        <w:rPr>
          <w:rFonts w:hint="eastAsia" w:ascii="仿宋_GB2312" w:hAnsi="仿宋" w:eastAsia="仿宋_GB2312"/>
          <w:bCs/>
          <w:color w:val="000000"/>
          <w:sz w:val="28"/>
          <w:szCs w:val="28"/>
        </w:rPr>
        <w:t xml:space="preserve"> </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南部县国润排水有限公司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仪陇国润排水有限公司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南充国润排水有限公司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南充国润荆溪排水有限公司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遂宁国润排水有限公司</w:t>
      </w:r>
    </w:p>
    <w:p>
      <w:pPr>
        <w:pStyle w:val="56"/>
        <w:kinsoku/>
        <w:wordWrap/>
        <w:overflowPunct/>
        <w:bidi w:val="0"/>
        <w:spacing w:before="0" w:after="0" w:line="560" w:lineRule="atLeast"/>
        <w:ind w:left="2080" w:hanging="2080" w:hangingChars="740"/>
        <w:textAlignment w:val="auto"/>
        <w:rPr>
          <w:b/>
          <w:color w:val="000000"/>
        </w:rPr>
      </w:pPr>
      <w:r>
        <w:rPr>
          <w:rFonts w:hint="eastAsia"/>
          <w:b/>
          <w:color w:val="000000"/>
        </w:rPr>
        <w:t>五、采购项目内容：</w:t>
      </w:r>
    </w:p>
    <w:p>
      <w:pPr>
        <w:pStyle w:val="139"/>
        <w:numPr>
          <w:ilvl w:val="0"/>
          <w:numId w:val="4"/>
        </w:numPr>
        <w:kinsoku/>
        <w:wordWrap/>
        <w:overflowPunct/>
        <w:bidi w:val="0"/>
        <w:spacing w:line="560" w:lineRule="atLeast"/>
        <w:ind w:firstLineChars="0"/>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总体要求</w:t>
      </w:r>
    </w:p>
    <w:p>
      <w:pPr>
        <w:pStyle w:val="139"/>
        <w:numPr>
          <w:ilvl w:val="1"/>
          <w:numId w:val="4"/>
        </w:numPr>
        <w:kinsoku/>
        <w:wordWrap/>
        <w:overflowPunct/>
        <w:bidi w:val="0"/>
        <w:spacing w:line="560" w:lineRule="atLeast"/>
        <w:ind w:left="0" w:firstLine="425" w:firstLineChars="152"/>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生产运营数据的数字孪生建模。将生产阶段的各种指标，通过数字化手段集成在一个紧密协作的生产及预警体系中，按既定的原则，实现五级管控数据推送。</w:t>
      </w:r>
    </w:p>
    <w:p>
      <w:pPr>
        <w:pStyle w:val="139"/>
        <w:numPr>
          <w:ilvl w:val="1"/>
          <w:numId w:val="4"/>
        </w:numPr>
        <w:kinsoku/>
        <w:wordWrap/>
        <w:overflowPunct/>
        <w:bidi w:val="0"/>
        <w:spacing w:line="560" w:lineRule="atLeast"/>
        <w:ind w:left="0" w:firstLine="425" w:firstLineChars="152"/>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建立四川发展国润水务投资有限公司川</w:t>
      </w:r>
      <w:r>
        <w:rPr>
          <w:rFonts w:hint="eastAsia" w:ascii="仿宋" w:hAnsi="仿宋" w:eastAsia="仿宋" w:cs="仿宋"/>
          <w:snapToGrid/>
          <w:kern w:val="2"/>
          <w:sz w:val="28"/>
          <w:szCs w:val="28"/>
          <w:lang w:eastAsia="zh-CN"/>
        </w:rPr>
        <w:t>东</w:t>
      </w:r>
      <w:r>
        <w:rPr>
          <w:rFonts w:hint="eastAsia" w:ascii="仿宋" w:hAnsi="仿宋" w:eastAsia="仿宋" w:cs="仿宋"/>
          <w:snapToGrid/>
          <w:kern w:val="2"/>
          <w:sz w:val="28"/>
          <w:szCs w:val="28"/>
        </w:rPr>
        <w:t>片区生产运营数据数据字典和对接规范。</w:t>
      </w:r>
    </w:p>
    <w:p>
      <w:pPr>
        <w:pStyle w:val="139"/>
        <w:numPr>
          <w:ilvl w:val="1"/>
          <w:numId w:val="4"/>
        </w:numPr>
        <w:kinsoku/>
        <w:wordWrap/>
        <w:overflowPunct/>
        <w:bidi w:val="0"/>
        <w:spacing w:line="560" w:lineRule="atLeast"/>
        <w:ind w:left="0" w:firstLine="425" w:firstLineChars="152"/>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完成第一阶段一厂一站的精细化管理，根据各工艺段仿真模型，实现厂站关键指标数据、设备运营数据和视频数据远程接入物联平台。</w:t>
      </w:r>
    </w:p>
    <w:p>
      <w:pPr>
        <w:pStyle w:val="139"/>
        <w:numPr>
          <w:ilvl w:val="1"/>
          <w:numId w:val="4"/>
        </w:numPr>
        <w:kinsoku/>
        <w:wordWrap/>
        <w:overflowPunct/>
        <w:bidi w:val="0"/>
        <w:spacing w:line="560" w:lineRule="atLeast"/>
        <w:ind w:left="0" w:firstLine="425" w:firstLineChars="152"/>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建立设备数据管理模型。建立关键设备参数监控策略，对设备运维提出实质性改进建议，保障生产运营数据的准确性、有效性和长效性。</w:t>
      </w:r>
    </w:p>
    <w:p>
      <w:pPr>
        <w:pStyle w:val="139"/>
        <w:numPr>
          <w:ilvl w:val="1"/>
          <w:numId w:val="4"/>
        </w:numPr>
        <w:kinsoku/>
        <w:wordWrap/>
        <w:overflowPunct/>
        <w:bidi w:val="0"/>
        <w:spacing w:line="560" w:lineRule="atLeast"/>
        <w:ind w:left="0" w:firstLine="425" w:firstLineChars="152"/>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免费提供物联平台，协助业主完成私有化部署。同时物联平台具备非透传模式，要求全部数据加密，具备赛门铁克安全认证确保数据安全。</w:t>
      </w:r>
    </w:p>
    <w:p>
      <w:pPr>
        <w:pStyle w:val="139"/>
        <w:numPr>
          <w:ilvl w:val="1"/>
          <w:numId w:val="4"/>
        </w:numPr>
        <w:kinsoku/>
        <w:wordWrap/>
        <w:overflowPunct/>
        <w:bidi w:val="0"/>
        <w:spacing w:line="560" w:lineRule="atLeast"/>
        <w:ind w:left="0" w:firstLine="425" w:firstLineChars="152"/>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在厂站视频网络硬盘录像机接通网络及满足支持国标GB28181协议前提下，确保摄像头的监控视频及对应网络/硬盘录像机设备以国标GB28181协议接入国润专属物联网平台。</w:t>
      </w:r>
    </w:p>
    <w:p>
      <w:pPr>
        <w:pStyle w:val="139"/>
        <w:numPr>
          <w:ilvl w:val="1"/>
          <w:numId w:val="4"/>
        </w:numPr>
        <w:kinsoku/>
        <w:wordWrap/>
        <w:overflowPunct/>
        <w:bidi w:val="0"/>
        <w:spacing w:line="560" w:lineRule="atLeast"/>
        <w:ind w:left="0" w:firstLine="425" w:firstLineChars="152"/>
        <w:textAlignment w:val="auto"/>
        <w:rPr>
          <w:rFonts w:hint="eastAsia" w:ascii="仿宋" w:hAnsi="仿宋" w:eastAsia="仿宋" w:cs="仿宋"/>
          <w:sz w:val="28"/>
          <w:szCs w:val="28"/>
        </w:rPr>
      </w:pPr>
      <w:r>
        <w:rPr>
          <w:rFonts w:hint="eastAsia" w:ascii="仿宋" w:hAnsi="仿宋" w:eastAsia="仿宋" w:cs="仿宋"/>
          <w:snapToGrid/>
          <w:kern w:val="2"/>
          <w:sz w:val="28"/>
          <w:szCs w:val="28"/>
        </w:rPr>
        <w:t>合同签订后5个工作日完成所有厂站的数据对接、清洗和上传。一年内免费接入区域内PLC/SCADA新增设备数据。</w:t>
      </w:r>
    </w:p>
    <w:p>
      <w:pPr>
        <w:pStyle w:val="139"/>
        <w:numPr>
          <w:ilvl w:val="0"/>
          <w:numId w:val="4"/>
        </w:numPr>
        <w:kinsoku/>
        <w:wordWrap/>
        <w:overflowPunct/>
        <w:bidi w:val="0"/>
        <w:spacing w:line="560" w:lineRule="atLeast"/>
        <w:ind w:firstLineChars="0"/>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功能要求</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（1）生产数据实时掌控</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按照数据管理平台的采集范围接入所需传感器变量值，并根据数据管理平台的命名规范在采集数据的同时将现场传感器变量转换为满足规范规定的格式，搭建中间物联平台，通过物联平台调试准确地获取传感器实时数据，将运行阶段的各种实时数据，如供水量、供水压力、频率和工序要求，通过数字化的手段集成在一个紧密协作的生产过程中，并根据既定的规则，自动的完成在不同条件组合下的操作，实现自动化的生产过程；同时记录生产过程中的各类数据，为后续的分析和优化提供依据。实现在系统看到的数据与现场设备和仪表一致。管理和运行人员不去现场也能全面掌控水厂的运行情况，提高工作效率。</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（2）生产数据监控分析</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集成数据智能平台的分析结果，通过采集各种实时运行数据，实现全部生产过程的可视化监控，并且通过经验或者机器学习建立关键设备参数、检验指标的监控策略，对出现违背策略的异常情况进行及时处理和调整，实现稳定并不断优化的生产过程；</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（3）实时视频监控及视频回放</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将各厂站的实时视频接入国润专属物联网平台。通过视频数据实时监督、历史查询等功能，实现多项目公司生产过程的可视化管控。视频数据接入。支持实时视频展示，支持视频数据存储备份。支持视频数据回放，视频回放时间长度与厂区本地录像存储设备存储视频时间长度一致。</w:t>
      </w:r>
    </w:p>
    <w:p>
      <w:pPr>
        <w:numPr>
          <w:ilvl w:val="0"/>
          <w:numId w:val="5"/>
        </w:numPr>
        <w:kinsoku/>
        <w:wordWrap/>
        <w:overflowPunct/>
        <w:bidi w:val="0"/>
        <w:spacing w:line="560" w:lineRule="atLeast"/>
        <w:ind w:left="846"/>
        <w:textAlignment w:val="auto"/>
        <w:rPr>
          <w:rFonts w:hint="eastAsia" w:ascii="仿宋" w:hAnsi="仿宋" w:eastAsia="仿宋" w:cs="仿宋"/>
          <w:sz w:val="28"/>
          <w:szCs w:val="28"/>
        </w:rPr>
      </w:pPr>
      <w:r>
        <w:rPr>
          <w:rFonts w:hint="eastAsia" w:ascii="仿宋" w:hAnsi="仿宋" w:eastAsia="仿宋" w:cs="仿宋"/>
          <w:sz w:val="28"/>
          <w:szCs w:val="28"/>
        </w:rPr>
        <w:t>实时数据展示：根据权限查看选中的厂站实时视频数据；</w:t>
      </w:r>
    </w:p>
    <w:p>
      <w:pPr>
        <w:numPr>
          <w:ilvl w:val="0"/>
          <w:numId w:val="5"/>
        </w:numPr>
        <w:kinsoku/>
        <w:wordWrap/>
        <w:overflowPunct/>
        <w:bidi w:val="0"/>
        <w:spacing w:line="560" w:lineRule="atLeast"/>
        <w:ind w:left="846"/>
        <w:textAlignment w:val="auto"/>
        <w:rPr>
          <w:rFonts w:hint="eastAsia" w:ascii="仿宋" w:hAnsi="仿宋" w:eastAsia="仿宋" w:cs="仿宋"/>
          <w:sz w:val="28"/>
          <w:szCs w:val="28"/>
        </w:rPr>
      </w:pPr>
      <w:r>
        <w:rPr>
          <w:rFonts w:hint="eastAsia" w:ascii="仿宋" w:hAnsi="仿宋" w:eastAsia="仿宋" w:cs="仿宋"/>
          <w:sz w:val="28"/>
          <w:szCs w:val="28"/>
        </w:rPr>
        <w:t>历史数据回放：根据权限回放选中的厂站内视频数据。</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（4）建立四川发展国润水务投资有限公司川</w:t>
      </w:r>
      <w:r>
        <w:rPr>
          <w:rFonts w:hint="eastAsia" w:ascii="仿宋" w:hAnsi="仿宋" w:eastAsia="仿宋" w:cs="仿宋"/>
          <w:sz w:val="28"/>
          <w:szCs w:val="28"/>
          <w:lang w:eastAsia="zh-CN"/>
        </w:rPr>
        <w:t>东</w:t>
      </w:r>
      <w:r>
        <w:rPr>
          <w:rFonts w:hint="eastAsia" w:ascii="仿宋" w:hAnsi="仿宋" w:eastAsia="仿宋" w:cs="仿宋"/>
          <w:sz w:val="28"/>
          <w:szCs w:val="28"/>
        </w:rPr>
        <w:t>片区生产运营数据数据字典和对接规范。</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建立设备数据管理模型。建立关键设备参数监控策略，对设备运维提出实质性改进建议，保障生产运营数据的准确性、有效性和长效性。</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（5）免费提供物联平台，协助业主完成私有化部署。同时物联平台具备非透传模式，要求全部数据加密，具备赛门铁克安全认证确保数据安全。</w:t>
      </w:r>
    </w:p>
    <w:p>
      <w:pPr>
        <w:kinsoku/>
        <w:wordWrap/>
        <w:overflowPunct/>
        <w:bidi w:val="0"/>
        <w:spacing w:line="560" w:lineRule="atLeast"/>
        <w:textAlignment w:val="auto"/>
        <w:rPr>
          <w:rFonts w:hint="eastAsia" w:ascii="仿宋" w:hAnsi="仿宋" w:eastAsia="仿宋" w:cs="仿宋"/>
          <w:sz w:val="28"/>
          <w:szCs w:val="28"/>
        </w:rPr>
      </w:pPr>
    </w:p>
    <w:p>
      <w:pPr>
        <w:pStyle w:val="139"/>
        <w:numPr>
          <w:ilvl w:val="0"/>
          <w:numId w:val="4"/>
        </w:numPr>
        <w:kinsoku/>
        <w:wordWrap/>
        <w:overflowPunct/>
        <w:bidi w:val="0"/>
        <w:spacing w:line="560" w:lineRule="atLeast"/>
        <w:ind w:firstLineChars="0"/>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设备要求</w:t>
      </w:r>
    </w:p>
    <w:p>
      <w:pPr>
        <w:kinsoku/>
        <w:wordWrap/>
        <w:overflowPunct/>
        <w:bidi w:val="0"/>
        <w:spacing w:line="560" w:lineRule="atLeast"/>
        <w:ind w:firstLine="425" w:firstLineChars="152"/>
        <w:textAlignment w:val="auto"/>
        <w:rPr>
          <w:rFonts w:hint="eastAsia" w:ascii="仿宋" w:hAnsi="仿宋" w:eastAsia="仿宋" w:cs="仿宋"/>
          <w:sz w:val="28"/>
          <w:szCs w:val="28"/>
        </w:rPr>
      </w:pPr>
      <w:r>
        <w:rPr>
          <w:rFonts w:hint="eastAsia" w:ascii="仿宋" w:hAnsi="仿宋" w:eastAsia="仿宋" w:cs="仿宋"/>
          <w:sz w:val="28"/>
          <w:szCs w:val="28"/>
        </w:rPr>
        <w:t>（1）OPC物联网关设备参数要求：</w:t>
      </w:r>
    </w:p>
    <w:tbl>
      <w:tblPr>
        <w:tblStyle w:val="45"/>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708"/>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2" w:type="dxa"/>
            <w:shd w:val="clear" w:color="auto" w:fill="auto"/>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1708" w:type="dxa"/>
            <w:shd w:val="clear" w:color="auto" w:fill="auto"/>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设备</w:t>
            </w:r>
          </w:p>
        </w:tc>
        <w:tc>
          <w:tcPr>
            <w:tcW w:w="6453" w:type="dxa"/>
            <w:shd w:val="clear" w:color="auto" w:fill="auto"/>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42" w:type="dxa"/>
            <w:shd w:val="clear" w:color="auto" w:fill="auto"/>
            <w:vAlign w:val="center"/>
          </w:tcPr>
          <w:p>
            <w:pPr>
              <w:kinsoku/>
              <w:wordWrap/>
              <w:overflowPunct/>
              <w:bidi w:val="0"/>
              <w:spacing w:line="560" w:lineRule="atLeast"/>
              <w:ind w:firstLine="280" w:firstLineChars="10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708" w:type="dxa"/>
            <w:shd w:val="clear" w:color="auto" w:fill="auto"/>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OPC物联网关</w:t>
            </w:r>
          </w:p>
        </w:tc>
        <w:tc>
          <w:tcPr>
            <w:tcW w:w="6453" w:type="dxa"/>
            <w:shd w:val="clear" w:color="auto" w:fill="auto"/>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处理器：工业级高性能嵌入式ARM处理器</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通讯接口1：RS485(2路光电隔离)，最高波特率57600</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通讯接口2：RS232，最高波特率115200</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通讯接口3：以太网10/100M自适应</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联网方式：网线、WIFI、4G，有线冗余切换</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数据点数：支持500及以上点数据 </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支持西门子、AB、三菱、欧姆龙、台达、台湾丰炜、台湾永宏等PLC协议。</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支持OPC DA 兼容组态软件包括IFIX、INTOUCH、WINCC、组态王、力控、Kepware、PCS7等。</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设备具备FCC认证和CE认证要求。</w:t>
            </w:r>
          </w:p>
        </w:tc>
      </w:tr>
    </w:tbl>
    <w:p>
      <w:pPr>
        <w:pStyle w:val="139"/>
        <w:kinsoku/>
        <w:wordWrap/>
        <w:overflowPunct/>
        <w:bidi w:val="0"/>
        <w:spacing w:line="560" w:lineRule="atLeast"/>
        <w:ind w:left="0" w:leftChars="0" w:firstLine="0" w:firstLineChars="0"/>
        <w:textAlignment w:val="auto"/>
        <w:rPr>
          <w:rFonts w:hint="eastAsia" w:ascii="仿宋" w:hAnsi="仿宋" w:eastAsia="仿宋" w:cs="仿宋"/>
          <w:snapToGrid/>
          <w:kern w:val="2"/>
          <w:sz w:val="28"/>
          <w:szCs w:val="28"/>
        </w:rPr>
      </w:pPr>
    </w:p>
    <w:p>
      <w:pPr>
        <w:kinsoku/>
        <w:wordWrap/>
        <w:overflowPunct/>
        <w:bidi w:val="0"/>
        <w:spacing w:line="560" w:lineRule="atLeast"/>
        <w:ind w:firstLine="425" w:firstLineChars="152"/>
        <w:textAlignment w:val="auto"/>
        <w:rPr>
          <w:rFonts w:hint="eastAsia" w:ascii="仿宋" w:hAnsi="仿宋" w:eastAsia="仿宋" w:cs="仿宋"/>
          <w:sz w:val="28"/>
          <w:szCs w:val="28"/>
        </w:rPr>
      </w:pPr>
      <w:r>
        <w:rPr>
          <w:rFonts w:hint="eastAsia" w:ascii="仿宋" w:hAnsi="仿宋" w:eastAsia="仿宋" w:cs="仿宋"/>
          <w:sz w:val="28"/>
          <w:szCs w:val="28"/>
        </w:rPr>
        <w:t>（2）OPC数据对接服务要求：</w:t>
      </w:r>
    </w:p>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净水</w:t>
      </w:r>
      <w:r>
        <w:rPr>
          <w:rFonts w:hint="eastAsia" w:ascii="仿宋" w:hAnsi="仿宋" w:eastAsia="仿宋" w:cs="仿宋"/>
          <w:sz w:val="28"/>
          <w:szCs w:val="28"/>
        </w:rPr>
        <w:t>厂数据对接清单</w:t>
      </w:r>
    </w:p>
    <w:tbl>
      <w:tblPr>
        <w:tblStyle w:val="45"/>
        <w:tblW w:w="8723" w:type="dxa"/>
        <w:jc w:val="center"/>
        <w:tblLayout w:type="fixed"/>
        <w:tblCellMar>
          <w:top w:w="0" w:type="dxa"/>
          <w:left w:w="108" w:type="dxa"/>
          <w:bottom w:w="0" w:type="dxa"/>
          <w:right w:w="108" w:type="dxa"/>
        </w:tblCellMar>
      </w:tblPr>
      <w:tblGrid>
        <w:gridCol w:w="834"/>
        <w:gridCol w:w="1578"/>
        <w:gridCol w:w="3354"/>
        <w:gridCol w:w="1578"/>
        <w:gridCol w:w="1379"/>
      </w:tblGrid>
      <w:tr>
        <w:tblPrEx>
          <w:tblCellMar>
            <w:top w:w="0" w:type="dxa"/>
            <w:left w:w="108" w:type="dxa"/>
            <w:bottom w:w="0" w:type="dxa"/>
            <w:right w:w="108" w:type="dxa"/>
          </w:tblCellMar>
        </w:tblPrEx>
        <w:trPr>
          <w:trHeight w:val="411" w:hRule="atLeast"/>
          <w:jc w:val="center"/>
        </w:trPr>
        <w:tc>
          <w:tcPr>
            <w:tcW w:w="8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157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数据类型</w:t>
            </w:r>
          </w:p>
        </w:tc>
        <w:tc>
          <w:tcPr>
            <w:tcW w:w="33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数据明细</w:t>
            </w:r>
          </w:p>
        </w:tc>
        <w:tc>
          <w:tcPr>
            <w:tcW w:w="1578" w:type="dxa"/>
            <w:tcBorders>
              <w:top w:val="single" w:color="auto" w:sz="4" w:space="0"/>
              <w:left w:val="nil"/>
              <w:bottom w:val="single" w:color="auto" w:sz="4" w:space="0"/>
              <w:right w:val="single" w:color="auto" w:sz="4" w:space="0"/>
            </w:tcBorders>
            <w:shd w:val="clear" w:color="000000" w:fill="FFFFFF"/>
            <w:noWrap/>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单位</w:t>
            </w:r>
          </w:p>
        </w:tc>
        <w:tc>
          <w:tcPr>
            <w:tcW w:w="1379" w:type="dxa"/>
            <w:tcBorders>
              <w:top w:val="single" w:color="auto" w:sz="4" w:space="0"/>
              <w:left w:val="nil"/>
              <w:bottom w:val="single" w:color="auto" w:sz="4" w:space="0"/>
              <w:right w:val="single" w:color="auto" w:sz="4" w:space="0"/>
            </w:tcBorders>
            <w:shd w:val="clear" w:color="000000" w:fill="FFFFFF"/>
            <w:noWrap/>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取值间隔</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化验室数据</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进水水温</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oC</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进水pH</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进水CODcr</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进水SS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进水TN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进水TP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进水NH3-N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进水BOD5</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进水B/C</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出水pH</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出水CODcr</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出水SS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出水TN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出水TP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出水NH3-N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出水BOD5</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粪大肠菌</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Cell/L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MLSS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MLVSS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外运污泥含水率</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进水水质</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在线水温</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在线pH</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在线CODcr</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在线SS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在线TN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2小时</w:t>
            </w:r>
          </w:p>
        </w:tc>
      </w:tr>
      <w:tr>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在线TP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在线NH3-N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2小时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出水水质</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在线CODcr</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在线SS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在线TN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在线TP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在线NH3-N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2小时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粗格栅</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前液位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后液位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前后液位差（计算值）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细格栅</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前液位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后液位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前后液位差（计算值）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进水提升泵站</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出水压力</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KPa</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瞬时流量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累积流量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生化池主要工艺参数</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DO</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ORP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mV</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MLSS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SVI</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ml/g</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SV30</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缺氧池出口NO3-N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内回流流量瞬时值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内回流流量累积值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内回流比（计算值）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各二沉池</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泥位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水力负荷（计算值）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固体负荷（计算值）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Kg SS/m2.h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污泥回流量瞬时值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污泥回流量累积值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外回流比（计算值）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剩余污泥排泥流量瞬时值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剩余污泥排泥流量累积值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剩余污泥排SS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混凝絮凝沉淀池</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进水TP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2小时 </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出水TP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2小时 </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进水SS或浊度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出水SS或浊度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p>
        </w:tc>
      </w:tr>
      <w:tr>
        <w:tblPrEx>
          <w:tblCellMar>
            <w:top w:w="0" w:type="dxa"/>
            <w:left w:w="108" w:type="dxa"/>
            <w:bottom w:w="0" w:type="dxa"/>
            <w:right w:w="108" w:type="dxa"/>
          </w:tblCellMar>
        </w:tblPrEx>
        <w:trPr>
          <w:trHeight w:val="291"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各滤池</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进水液位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阻塞值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cm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出水SS或浊度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mg/l/NTU</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1小时 </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反洗水量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各鼓风机</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出口风压</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kpa</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出口风量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出口温度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鼓风机频率</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hz</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污泥浓缩脱水</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浓缩池进泥流量瞬时值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浓缩池进泥流量累积值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浓缩池进泥浓度SS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浓缩池液位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浓缩污泥储泥池污泥浓度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脱水机进泥流量瞬时值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脱水机进泥流量累积值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外运污泥量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ton/d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11</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臭气处理</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风机风量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风机风压</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kpa</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出口H2S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出口NH3</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反硝化碳源投加量</w:t>
            </w:r>
          </w:p>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（乙酸钠等）</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乙酸钠投加流量瞬时值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乙酸钠投加流量累积值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乙酸钠制备浓度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1小时（在线或人工）</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溶液池液位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乙酸钠投加单耗（计算值）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乙酸钠投加量（计算值）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Kg/d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13</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混凝剂投加量</w:t>
            </w:r>
          </w:p>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(PAC、聚合硫酸铁、三氯化铁等)</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投加流量瞬时值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投加流量累积值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制备浓度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1小时（在线或人工）</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溶液池液位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单耗（计算值）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投加量（计算值）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Kg/d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14</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絮凝剂投加量</w:t>
            </w:r>
          </w:p>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（阴离子PAM）</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投加流量瞬时值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投加流量累积值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制备浓度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1小时（在线或人工）</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溶液池液位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絮凝剂投加量单耗（计算值）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絮凝剂投加量（计算值）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Kg/d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消毒剂投加量</w:t>
            </w:r>
          </w:p>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（次氯酸钠，二氧化氯等）</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投加流量瞬时值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投加流量累积值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制备浓度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1小时（在线或人工）</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溶液池液位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消毒剂投加量单耗（计算值）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消毒剂投加量（计算值）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Kg/d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16</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脱水剂投加量</w:t>
            </w:r>
          </w:p>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(阳离子PAM</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投加流量瞬时值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投加流量累积值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center"/>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制备浓度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1小时（在线或人工）</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溶液池液位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投加量单耗（计算值）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投加量（计算值）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Kg/d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单耗（计算值）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Kg PAM/DS ton</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17</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电量分布</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全厂电量分布</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进水提升泵间电量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鼓风机间电量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主要搅拌器电量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中间提升泵间电量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内回流泵电量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外回流泵电量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反洗泵房电量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紫外消毒电量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出水泵房电量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污泥脱水间电量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臭气处理电量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实际吨水电耗（计算值）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kWh/m3</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实际公斤BOD电耗（计算值）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kWh/kg BOD5</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1578" w:type="dxa"/>
            <w:vMerge w:val="continue"/>
            <w:tcBorders>
              <w:left w:val="single" w:color="auto" w:sz="4" w:space="0"/>
              <w:bottom w:val="single" w:color="auto" w:sz="4" w:space="0"/>
              <w:right w:val="single" w:color="auto" w:sz="4" w:space="0"/>
            </w:tcBorders>
          </w:tcPr>
          <w:p>
            <w:pPr>
              <w:widowControl/>
              <w:kinsoku/>
              <w:wordWrap/>
              <w:overflowPunct/>
              <w:bidi w:val="0"/>
              <w:spacing w:line="560" w:lineRule="atLeast"/>
              <w:jc w:val="left"/>
              <w:textAlignment w:val="auto"/>
              <w:rPr>
                <w:rFonts w:hint="eastAsia" w:ascii="仿宋" w:hAnsi="仿宋" w:eastAsia="仿宋" w:cs="仿宋"/>
                <w:sz w:val="28"/>
                <w:szCs w:val="28"/>
              </w:rPr>
            </w:pPr>
          </w:p>
        </w:tc>
        <w:tc>
          <w:tcPr>
            <w:tcW w:w="3354" w:type="dxa"/>
            <w:tcBorders>
              <w:top w:val="nil"/>
              <w:left w:val="single" w:color="auto" w:sz="4" w:space="0"/>
              <w:bottom w:val="single" w:color="auto" w:sz="4" w:space="0"/>
              <w:right w:val="single" w:color="auto" w:sz="4" w:space="0"/>
            </w:tcBorders>
            <w:noWrap/>
            <w:vAlign w:val="center"/>
          </w:tcPr>
          <w:p>
            <w:pPr>
              <w:widowControl/>
              <w:kinsoku/>
              <w:wordWrap/>
              <w:overflowPunct/>
              <w:bidi w:val="0"/>
              <w:spacing w:line="56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实际公斤COD电耗（计算值）</w:t>
            </w:r>
          </w:p>
        </w:tc>
        <w:tc>
          <w:tcPr>
            <w:tcW w:w="1578" w:type="dxa"/>
            <w:tcBorders>
              <w:top w:val="nil"/>
              <w:left w:val="nil"/>
              <w:bottom w:val="single" w:color="auto" w:sz="4" w:space="0"/>
              <w:right w:val="single" w:color="auto" w:sz="4" w:space="0"/>
            </w:tcBorders>
            <w:noWrap/>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kWh/kg CODcr</w:t>
            </w:r>
          </w:p>
        </w:tc>
        <w:tc>
          <w:tcPr>
            <w:tcW w:w="1379" w:type="dxa"/>
            <w:tcBorders>
              <w:top w:val="nil"/>
              <w:left w:val="nil"/>
              <w:bottom w:val="single" w:color="auto" w:sz="4" w:space="0"/>
              <w:right w:val="single" w:color="auto" w:sz="4" w:space="0"/>
            </w:tcBorders>
            <w:noWrap/>
            <w:vAlign w:val="center"/>
          </w:tcPr>
          <w:p>
            <w:pPr>
              <w:widowControl/>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1天</w:t>
            </w:r>
          </w:p>
        </w:tc>
      </w:tr>
    </w:tbl>
    <w:p>
      <w:pPr>
        <w:widowControl/>
        <w:kinsoku/>
        <w:wordWrap/>
        <w:overflowPunct/>
        <w:bidi w:val="0"/>
        <w:adjustRightInd w:val="0"/>
        <w:snapToGrid w:val="0"/>
        <w:spacing w:line="560" w:lineRule="atLeast"/>
        <w:ind w:firstLine="420"/>
        <w:jc w:val="left"/>
        <w:textAlignment w:val="auto"/>
        <w:rPr>
          <w:rFonts w:hint="eastAsia" w:ascii="仿宋" w:hAnsi="仿宋" w:eastAsia="仿宋" w:cs="仿宋"/>
          <w:sz w:val="28"/>
          <w:szCs w:val="28"/>
        </w:rPr>
      </w:pPr>
    </w:p>
    <w:p>
      <w:pPr>
        <w:pStyle w:val="139"/>
        <w:widowControl/>
        <w:numPr>
          <w:ilvl w:val="0"/>
          <w:numId w:val="6"/>
        </w:numPr>
        <w:kinsoku/>
        <w:wordWrap/>
        <w:overflowPunct/>
        <w:bidi w:val="0"/>
        <w:spacing w:line="560" w:lineRule="atLeast"/>
        <w:ind w:firstLineChars="0"/>
        <w:jc w:val="left"/>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视频数据对接服务要求：</w:t>
      </w:r>
    </w:p>
    <w:p>
      <w:pPr>
        <w:kinsoku/>
        <w:wordWrap/>
        <w:overflowPunct/>
        <w:bidi w:val="0"/>
        <w:spacing w:line="5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在厂站视频网络硬盘录像机接通网络及满足支持国标GB28181协议前提下，确保摄像头的监控视频及对应网络/硬盘录像机设备以国标GB28181协议接入国润专属物联网平台。</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将川</w:t>
      </w:r>
      <w:r>
        <w:rPr>
          <w:rFonts w:hint="eastAsia" w:ascii="仿宋" w:hAnsi="仿宋" w:eastAsia="仿宋" w:cs="仿宋"/>
          <w:sz w:val="28"/>
          <w:szCs w:val="28"/>
          <w:lang w:val="en-US" w:eastAsia="zh-CN"/>
        </w:rPr>
        <w:t>东</w:t>
      </w:r>
      <w:r>
        <w:rPr>
          <w:rFonts w:hint="eastAsia" w:ascii="仿宋" w:hAnsi="仿宋" w:eastAsia="仿宋" w:cs="仿宋"/>
          <w:sz w:val="28"/>
          <w:szCs w:val="28"/>
        </w:rPr>
        <w:t>各厂站的实时多路视频图像接入国润专属物联网平台。通过视频数据实时监督、历史查询等功能，实现多项目公司生产过程的可视化管控。视频数据接入。支持实时视频展示，支持视频数据存储备份。支持视频数据回放，视频回放时间长度与厂区本地录像存储设备存储视频时间长度一致。</w:t>
      </w:r>
    </w:p>
    <w:p>
      <w:pPr>
        <w:pStyle w:val="139"/>
        <w:numPr>
          <w:ilvl w:val="0"/>
          <w:numId w:val="4"/>
        </w:numPr>
        <w:kinsoku/>
        <w:wordWrap/>
        <w:overflowPunct/>
        <w:bidi w:val="0"/>
        <w:spacing w:line="560" w:lineRule="atLeast"/>
        <w:ind w:firstLineChars="0"/>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服务器要求</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（1）第三方通讯接口要求</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具备通用Webservice接口，支持平台开发。接口内容至少包括如下基本功能：</w:t>
      </w:r>
    </w:p>
    <w:tbl>
      <w:tblPr>
        <w:tblStyle w:val="45"/>
        <w:tblW w:w="910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43" w:type="dxa"/>
            <w:vAlign w:val="center"/>
          </w:tcPr>
          <w:p>
            <w:pPr>
              <w:kinsoku/>
              <w:wordWrap/>
              <w:overflowPunct/>
              <w:bidi w:val="0"/>
              <w:spacing w:line="560" w:lineRule="atLeast"/>
              <w:ind w:left="-951" w:leftChars="-453" w:firstLine="1828" w:firstLineChars="653"/>
              <w:textAlignment w:val="auto"/>
              <w:rPr>
                <w:rFonts w:hint="eastAsia" w:ascii="仿宋" w:hAnsi="仿宋" w:eastAsia="仿宋" w:cs="仿宋"/>
                <w:sz w:val="28"/>
                <w:szCs w:val="28"/>
              </w:rPr>
            </w:pPr>
            <w:r>
              <w:rPr>
                <w:rFonts w:hint="eastAsia" w:ascii="仿宋" w:hAnsi="仿宋" w:eastAsia="仿宋" w:cs="仿宋"/>
                <w:sz w:val="28"/>
                <w:szCs w:val="28"/>
              </w:rPr>
              <w:t>安全登录</w:t>
            </w:r>
          </w:p>
        </w:tc>
        <w:tc>
          <w:tcPr>
            <w:tcW w:w="7266" w:type="dxa"/>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可通过Webservice接口利用设备ID和密码登录，登录后方可对特定的设备进行操作。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43" w:type="dxa"/>
            <w:vAlign w:val="center"/>
          </w:tcPr>
          <w:p>
            <w:pPr>
              <w:kinsoku/>
              <w:wordWrap/>
              <w:overflowPunct/>
              <w:bidi w:val="0"/>
              <w:spacing w:line="5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枚举变量</w:t>
            </w:r>
          </w:p>
        </w:tc>
        <w:tc>
          <w:tcPr>
            <w:tcW w:w="7266" w:type="dxa"/>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可通过Webservice接口枚举控制系统全部变量，以方便平台开发直接获取项目信息。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43" w:type="dxa"/>
            <w:vAlign w:val="center"/>
          </w:tcPr>
          <w:p>
            <w:pPr>
              <w:kinsoku/>
              <w:wordWrap/>
              <w:overflowPunct/>
              <w:bidi w:val="0"/>
              <w:spacing w:line="5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读变量</w:t>
            </w:r>
          </w:p>
        </w:tc>
        <w:tc>
          <w:tcPr>
            <w:tcW w:w="7266" w:type="dxa"/>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可通过Webservice接口获取现场数据信息，如风机水泵运行状态，电流。要求全部变量具备通讯质量戳，以保证通讯可靠性。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43" w:type="dxa"/>
            <w:vAlign w:val="center"/>
          </w:tcPr>
          <w:p>
            <w:pPr>
              <w:kinsoku/>
              <w:wordWrap/>
              <w:overflowPunct/>
              <w:bidi w:val="0"/>
              <w:spacing w:line="5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写变量</w:t>
            </w:r>
          </w:p>
        </w:tc>
        <w:tc>
          <w:tcPr>
            <w:tcW w:w="7266" w:type="dxa"/>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可通过Webservice接口控制现场设备信息，如启停控制，报警复位。要求全部控制有返回状态，以保证控制有效执行。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843" w:type="dxa"/>
            <w:vAlign w:val="center"/>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设备状态获取</w:t>
            </w:r>
          </w:p>
        </w:tc>
        <w:tc>
          <w:tcPr>
            <w:tcW w:w="7266" w:type="dxa"/>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可获取设备电压，时间，信号强度，通讯故障，在线状况等等关键信息，以保证平台可对系统的状态进行诊断，分析，统计。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843" w:type="dxa"/>
            <w:vAlign w:val="center"/>
          </w:tcPr>
          <w:p>
            <w:pPr>
              <w:kinsoku/>
              <w:wordWrap/>
              <w:overflowPunct/>
              <w:bidi w:val="0"/>
              <w:spacing w:line="5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权限管理</w:t>
            </w:r>
          </w:p>
        </w:tc>
        <w:tc>
          <w:tcPr>
            <w:tcW w:w="7266" w:type="dxa"/>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应具备完善的分级管理权限，以不同权限登录 只可对指定的数据进行读写操作。</w:t>
            </w:r>
          </w:p>
        </w:tc>
      </w:tr>
    </w:tbl>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（2）网络传输安全要求</w:t>
      </w:r>
    </w:p>
    <w:p>
      <w:pPr>
        <w:numPr>
          <w:ilvl w:val="0"/>
          <w:numId w:val="7"/>
        </w:num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内容加密</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使用WEB接口访问数据服务器每次新建会话时都必须通过密码和ID安全登录，通过Webservice接口到服务器的内容必须以加密形式传输，以确保中间者无法直接查看原始内容。</w:t>
      </w:r>
    </w:p>
    <w:p>
      <w:pPr>
        <w:numPr>
          <w:ilvl w:val="0"/>
          <w:numId w:val="7"/>
        </w:num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身份认证</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应采用数字签名保证用户访问的是数据服务器。</w:t>
      </w:r>
    </w:p>
    <w:p>
      <w:pPr>
        <w:numPr>
          <w:ilvl w:val="0"/>
          <w:numId w:val="7"/>
        </w:num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数据完整性</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采用MD5或者其他算法防止网络传输过程中内容或数据被第三方冒充或者篡改。</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（3）数据库安全要求</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数据库设计应根据GB17859-1999《计算机信息系统安全保护等级划分准则》中的《中华人民共和国公共安全行业标准GA/T 389-2002》，符合以下方面的安全规定。</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物理数据库的完整性：数据库中的数据不被各种自然的或物理的问题而破坏，如电力问题或设备故障等。</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逻辑数据库的完整性：对数据库结构的保护，对其中一个字段的修改不应该破坏其他字段。</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元素安全性：存储在数据库中的每个元素都是正确的。</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可审计性：可以追踪存取和修改数据库元素的用户。</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访问控制：确保只有授权的用户才能访问数据库，不同的用户被限制在不同的访问方式。</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身份验证：不管是审计追踪或者是对某一数据库的访问都要经过严格的身份验证。</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可用性：对授权的用户应该随时可进行应有的数据库访问。</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（4）云服务器基本要求</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高可用性：严格的IDC标准、服务器准入标准以及运维标准，提升可用性的产品和服务，包括云服务器、负载均衡、多备份数据库服务以及数据迁移服务DTS等。</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安全性：需通过国际安全标准认证，如ISO27001、MTCS等，对于项目数据的私密性、项目信息的私密性以及项目隐私的保护都有非常严格的要求。</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弹性：计算能力，存储，网络都可以随时根据负载和项目需求变更。</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服务器负载和均衡要求</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云服务器宜采用超微服务器架构和服务器集群设计，该结构可以保证容量的可扩展性，安全性，稳定性。</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（5）服务器安全和维护要求</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云服务器应具备99.9以上可用性，99.99%以上数据可靠性.</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云服务器应具备容灾备份：多份数据副本，单份损坏可在短时间内快速恢复，用户自定义快照，快速自动故障恢复。</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云服务器应可有效阻止 MAC 欺骗和 ARP 攻击有效防护 DDoS 攻击，可进行流量清洗和黑洞可提供端口入侵扫描、挂马扫描、漏洞扫描。</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维护基本要求</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安全漏洞的检测，根据微软的安全公告及时给操作系统安装补丁。</w:t>
      </w:r>
    </w:p>
    <w:p>
      <w:pPr>
        <w:kinsoku/>
        <w:wordWrap/>
        <w:overflowPunct/>
        <w:bidi w:val="0"/>
        <w:spacing w:line="560" w:lineRule="atLeast"/>
        <w:ind w:firstLine="555"/>
        <w:textAlignment w:val="auto"/>
        <w:rPr>
          <w:rFonts w:hint="eastAsia" w:ascii="仿宋" w:hAnsi="仿宋" w:eastAsia="仿宋" w:cs="仿宋"/>
          <w:sz w:val="28"/>
          <w:szCs w:val="28"/>
        </w:rPr>
      </w:pPr>
      <w:r>
        <w:rPr>
          <w:rFonts w:hint="eastAsia" w:ascii="仿宋" w:hAnsi="仿宋" w:eastAsia="仿宋" w:cs="仿宋"/>
          <w:sz w:val="28"/>
          <w:szCs w:val="28"/>
        </w:rPr>
        <w:t>每个月对服务器进行不少于1次的远程登录，日志分析和故障排查。日志分析包括系统日志、安全日志和应用程序日志。</w:t>
      </w:r>
    </w:p>
    <w:p>
      <w:pPr>
        <w:kinsoku/>
        <w:wordWrap/>
        <w:overflowPunct/>
        <w:bidi w:val="0"/>
        <w:spacing w:line="560" w:lineRule="atLeast"/>
        <w:ind w:firstLine="555"/>
        <w:textAlignment w:val="auto"/>
        <w:rPr>
          <w:rFonts w:hint="eastAsia" w:ascii="仿宋" w:hAnsi="仿宋" w:eastAsia="仿宋" w:cs="仿宋"/>
          <w:snapToGrid/>
          <w:kern w:val="2"/>
          <w:sz w:val="28"/>
          <w:szCs w:val="28"/>
        </w:rPr>
      </w:pPr>
      <w:r>
        <w:rPr>
          <w:rFonts w:hint="eastAsia" w:ascii="仿宋" w:hAnsi="仿宋" w:eastAsia="仿宋" w:cs="仿宋"/>
          <w:sz w:val="28"/>
          <w:szCs w:val="28"/>
        </w:rPr>
        <w:t>定期进行数据库备份和系统镜像检查。</w:t>
      </w:r>
    </w:p>
    <w:p>
      <w:pPr>
        <w:pStyle w:val="139"/>
        <w:numPr>
          <w:ilvl w:val="0"/>
          <w:numId w:val="4"/>
        </w:numPr>
        <w:kinsoku/>
        <w:wordWrap/>
        <w:overflowPunct/>
        <w:bidi w:val="0"/>
        <w:spacing w:line="560" w:lineRule="atLeast"/>
        <w:ind w:firstLineChars="0"/>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其他要求</w:t>
      </w:r>
    </w:p>
    <w:p>
      <w:pPr>
        <w:pStyle w:val="139"/>
        <w:widowControl/>
        <w:numPr>
          <w:ilvl w:val="0"/>
          <w:numId w:val="8"/>
        </w:numPr>
        <w:kinsoku/>
        <w:wordWrap/>
        <w:overflowPunct/>
        <w:autoSpaceDE/>
        <w:bidi w:val="0"/>
        <w:spacing w:line="560" w:lineRule="atLeast"/>
        <w:ind w:left="0" w:firstLine="426" w:firstLineChars="0"/>
        <w:jc w:val="left"/>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生产数据对接原则上数据按照以上表格清单统一标准采集，实际采集数据根据各厂站PLC/SCADA和网关的实际情况进行接入。</w:t>
      </w:r>
    </w:p>
    <w:p>
      <w:pPr>
        <w:pStyle w:val="139"/>
        <w:widowControl/>
        <w:numPr>
          <w:ilvl w:val="0"/>
          <w:numId w:val="8"/>
        </w:numPr>
        <w:shd w:val="clear" w:color="auto" w:fill="FFFFFF"/>
        <w:kinsoku/>
        <w:wordWrap/>
        <w:overflowPunct/>
        <w:autoSpaceDE/>
        <w:bidi w:val="0"/>
        <w:spacing w:line="560" w:lineRule="atLeast"/>
        <w:ind w:left="0" w:firstLine="426" w:firstLineChars="0"/>
        <w:jc w:val="left"/>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对接实施工程师入场前，净水厂区需提前确认中控软件的OPC服务正常稳定，并配合协调解决中控软件供应商解决中控软件对接时所需的开发密码、OPC服务授权、OPC服务稳定等由于中控软件本身导致的问题。</w:t>
      </w:r>
    </w:p>
    <w:p>
      <w:pPr>
        <w:pStyle w:val="139"/>
        <w:widowControl/>
        <w:numPr>
          <w:ilvl w:val="0"/>
          <w:numId w:val="8"/>
        </w:numPr>
        <w:shd w:val="clear" w:color="auto" w:fill="FFFFFF"/>
        <w:kinsoku/>
        <w:wordWrap/>
        <w:overflowPunct/>
        <w:autoSpaceDE/>
        <w:bidi w:val="0"/>
        <w:spacing w:line="560" w:lineRule="atLeast"/>
        <w:ind w:left="0" w:firstLine="426" w:firstLineChars="0"/>
        <w:jc w:val="left"/>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摄像头根据厂区摄像头配置情况进行对接，各厂区确保监控摄像头的视频信号具备通网条件并已经接入互联网。如果不具备通网条件，厂区提前购买物联网流量卡以确保视频数据接入调试，并确保摄像头的监控视频及对应网络/硬盘录像机设备能以国标GB28181协议接入统一物联网平台。</w:t>
      </w:r>
    </w:p>
    <w:p>
      <w:pPr>
        <w:pStyle w:val="139"/>
        <w:widowControl/>
        <w:numPr>
          <w:ilvl w:val="0"/>
          <w:numId w:val="8"/>
        </w:numPr>
        <w:shd w:val="clear" w:color="auto" w:fill="FFFFFF"/>
        <w:kinsoku/>
        <w:wordWrap/>
        <w:overflowPunct/>
        <w:autoSpaceDE/>
        <w:bidi w:val="0"/>
        <w:spacing w:line="560" w:lineRule="atLeast"/>
        <w:ind w:left="0" w:firstLine="426" w:firstLineChars="0"/>
        <w:jc w:val="left"/>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由于视频设备协议不兼容导致的硬件设备更换，或因厂区不具备通网条件导致的网络整改，由各厂区负责协调第三方供应商进行整改。当厂区具备视频对接条件后通知应标方入场实施，应标方在规定时间内完成视频对接调试工作。</w:t>
      </w:r>
    </w:p>
    <w:p>
      <w:pPr>
        <w:pStyle w:val="139"/>
        <w:widowControl/>
        <w:numPr>
          <w:ilvl w:val="0"/>
          <w:numId w:val="8"/>
        </w:numPr>
        <w:shd w:val="clear" w:color="auto" w:fill="FFFFFF"/>
        <w:kinsoku/>
        <w:wordWrap/>
        <w:overflowPunct/>
        <w:autoSpaceDE/>
        <w:bidi w:val="0"/>
        <w:spacing w:line="560" w:lineRule="atLeast"/>
        <w:ind w:left="0" w:firstLine="426" w:firstLineChars="0"/>
        <w:jc w:val="left"/>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合同签订后5个工作日完成所有厂站的数据对接、清洗和上传。一年内免费接入区域内PLC/SCADA新增设备数据。</w:t>
      </w:r>
    </w:p>
    <w:p>
      <w:pPr>
        <w:pStyle w:val="139"/>
        <w:widowControl/>
        <w:numPr>
          <w:ilvl w:val="0"/>
          <w:numId w:val="8"/>
        </w:numPr>
        <w:shd w:val="clear" w:color="auto" w:fill="FFFFFF"/>
        <w:kinsoku/>
        <w:wordWrap/>
        <w:overflowPunct/>
        <w:autoSpaceDE/>
        <w:bidi w:val="0"/>
        <w:spacing w:line="560" w:lineRule="atLeast"/>
        <w:ind w:left="0" w:firstLine="426" w:firstLineChars="0"/>
        <w:jc w:val="left"/>
        <w:textAlignment w:val="auto"/>
      </w:pPr>
      <w:r>
        <w:rPr>
          <w:rFonts w:hint="eastAsia" w:ascii="仿宋" w:hAnsi="仿宋" w:eastAsia="仿宋" w:cs="仿宋"/>
          <w:snapToGrid/>
          <w:kern w:val="2"/>
          <w:sz w:val="28"/>
          <w:szCs w:val="28"/>
        </w:rPr>
        <w:t>OPC设备需要包括1年物联网卡通讯流量费用，全年总计使用通讯流量不少于6G。</w:t>
      </w:r>
    </w:p>
    <w:p>
      <w:pPr>
        <w:keepNext w:val="0"/>
        <w:keepLines w:val="0"/>
        <w:pageBreakBefore w:val="0"/>
        <w:kinsoku/>
        <w:wordWrap/>
        <w:overflowPunct/>
        <w:topLinePunct w:val="0"/>
        <w:autoSpaceDE/>
        <w:autoSpaceDN/>
        <w:bidi w:val="0"/>
        <w:adjustRightInd/>
        <w:spacing w:line="560" w:lineRule="atLeast"/>
        <w:jc w:val="left"/>
        <w:textAlignment w:val="auto"/>
        <w:rPr>
          <w:rFonts w:ascii="Arial" w:hAnsi="Arial" w:cs="Arial"/>
          <w:b/>
          <w:color w:val="000000"/>
          <w:kern w:val="0"/>
          <w:sz w:val="28"/>
          <w:szCs w:val="28"/>
        </w:rPr>
      </w:pPr>
      <w:r>
        <w:rPr>
          <w:rFonts w:hint="eastAsia" w:ascii="Arial" w:hAnsi="Arial" w:cs="Arial"/>
          <w:b/>
          <w:color w:val="000000"/>
          <w:kern w:val="0"/>
          <w:sz w:val="28"/>
          <w:szCs w:val="28"/>
        </w:rPr>
        <w:t>六、响应供应商资格要求</w:t>
      </w:r>
    </w:p>
    <w:p>
      <w:pPr>
        <w:keepNext w:val="0"/>
        <w:keepLines w:val="0"/>
        <w:pageBreakBefore w:val="0"/>
        <w:kinsoku/>
        <w:wordWrap/>
        <w:overflowPunct/>
        <w:topLinePunct w:val="0"/>
        <w:autoSpaceDE/>
        <w:autoSpaceDN/>
        <w:bidi w:val="0"/>
        <w:adjustRightInd/>
        <w:spacing w:line="560" w:lineRule="atLeast"/>
        <w:ind w:firstLine="562" w:firstLineChars="200"/>
        <w:jc w:val="left"/>
        <w:textAlignment w:val="auto"/>
        <w:rPr>
          <w:rFonts w:ascii="仿宋_GB2312" w:hAnsi="仿宋" w:eastAsia="仿宋_GB2312"/>
          <w:b/>
          <w:sz w:val="28"/>
          <w:szCs w:val="28"/>
        </w:rPr>
      </w:pPr>
      <w:r>
        <w:rPr>
          <w:rFonts w:hint="eastAsia" w:ascii="仿宋_GB2312" w:hAnsi="仿宋" w:eastAsia="仿宋_GB2312"/>
          <w:b/>
          <w:sz w:val="28"/>
          <w:szCs w:val="28"/>
        </w:rPr>
        <w:t>1、具有在中华人民共和国注册的独立企业法人资格（法定代表人为同一个人的两个及两个以上法人，母公司、全资子公司及其控股公司，不得同时参加谈判）；</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2、企业资质：</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（5）参加本次采购活动前三年内，在经营活动中没有重大违法记录；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left"/>
        <w:textAlignment w:val="auto"/>
        <w:rPr>
          <w:rFonts w:ascii="仿宋_GB2312" w:hAnsi="仿宋_GB2312" w:eastAsia="仿宋_GB2312" w:cs="仿宋_GB2312"/>
          <w:sz w:val="28"/>
          <w:szCs w:val="28"/>
        </w:rPr>
      </w:pPr>
      <w:r>
        <w:rPr>
          <w:rFonts w:hint="eastAsia" w:ascii="仿宋_GB2312" w:hAnsi="仿宋" w:eastAsia="仿宋_GB2312"/>
          <w:sz w:val="28"/>
          <w:szCs w:val="28"/>
        </w:rPr>
        <w:t>（6）法律、行政法规规定的其他条件</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atLeast"/>
        <w:ind w:left="559" w:leftChars="266"/>
        <w:jc w:val="left"/>
        <w:textAlignment w:val="auto"/>
        <w:rPr>
          <w:rFonts w:ascii="仿宋_GB2312" w:hAnsi="仿宋" w:eastAsia="仿宋_GB2312"/>
          <w:sz w:val="28"/>
          <w:szCs w:val="28"/>
        </w:rPr>
      </w:pPr>
      <w:r>
        <w:rPr>
          <w:rFonts w:hint="eastAsia" w:ascii="仿宋_GB2312" w:hAnsi="仿宋" w:eastAsia="仿宋_GB2312"/>
          <w:sz w:val="28"/>
          <w:szCs w:val="28"/>
        </w:rPr>
        <w:t>（7）具备系统集成服务的能力（营业范围中需包含系统集成）；（8）在《全国企业信用信息公示系统》中无经营异常名录信息和严重违法失信企业名单（黑名单）信息及产品质量的行政处罚信息（提供查询截图）；</w:t>
      </w:r>
    </w:p>
    <w:p>
      <w:pPr>
        <w:keepNext w:val="0"/>
        <w:keepLines w:val="0"/>
        <w:pageBreakBefore w:val="0"/>
        <w:widowControl w:val="0"/>
        <w:kinsoku/>
        <w:wordWrap/>
        <w:overflowPunct/>
        <w:topLinePunct w:val="0"/>
        <w:autoSpaceDE/>
        <w:autoSpaceDN/>
        <w:bidi w:val="0"/>
        <w:adjustRightInd/>
        <w:snapToGrid/>
        <w:spacing w:line="560" w:lineRule="atLeast"/>
        <w:ind w:left="559" w:leftChars="266"/>
        <w:jc w:val="left"/>
        <w:textAlignment w:val="auto"/>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9</w:t>
      </w:r>
      <w:r>
        <w:rPr>
          <w:rFonts w:hint="eastAsia" w:ascii="仿宋_GB2312" w:hAnsi="仿宋" w:eastAsia="仿宋_GB2312"/>
          <w:sz w:val="28"/>
          <w:szCs w:val="28"/>
        </w:rPr>
        <w:t>）投标人20</w:t>
      </w:r>
      <w:r>
        <w:rPr>
          <w:rFonts w:ascii="仿宋_GB2312" w:hAnsi="仿宋" w:eastAsia="仿宋_GB2312"/>
          <w:sz w:val="28"/>
          <w:szCs w:val="28"/>
        </w:rPr>
        <w:t>18</w:t>
      </w:r>
      <w:r>
        <w:rPr>
          <w:rFonts w:hint="eastAsia" w:ascii="仿宋_GB2312" w:hAnsi="仿宋" w:eastAsia="仿宋_GB2312"/>
          <w:sz w:val="28"/>
          <w:szCs w:val="28"/>
        </w:rPr>
        <w:t>-20</w:t>
      </w:r>
      <w:r>
        <w:rPr>
          <w:rFonts w:ascii="仿宋_GB2312" w:hAnsi="仿宋" w:eastAsia="仿宋_GB2312"/>
          <w:sz w:val="28"/>
          <w:szCs w:val="28"/>
        </w:rPr>
        <w:t>20</w:t>
      </w:r>
      <w:r>
        <w:rPr>
          <w:rFonts w:hint="eastAsia" w:ascii="仿宋_GB2312" w:hAnsi="仿宋" w:eastAsia="仿宋_GB2312"/>
          <w:sz w:val="28"/>
          <w:szCs w:val="28"/>
        </w:rPr>
        <w:t>年（以合同签订时间为准）具有不少于2个数据对接项目业绩(提供合同复印件)；</w:t>
      </w:r>
    </w:p>
    <w:p>
      <w:pPr>
        <w:keepNext w:val="0"/>
        <w:keepLines w:val="0"/>
        <w:pageBreakBefore w:val="0"/>
        <w:kinsoku/>
        <w:wordWrap/>
        <w:overflowPunct/>
        <w:topLinePunct w:val="0"/>
        <w:autoSpaceDE/>
        <w:autoSpaceDN/>
        <w:bidi w:val="0"/>
        <w:adjustRightInd/>
        <w:spacing w:line="560" w:lineRule="atLeast"/>
        <w:ind w:firstLine="562" w:firstLineChars="200"/>
        <w:jc w:val="left"/>
        <w:textAlignment w:val="auto"/>
        <w:rPr>
          <w:rFonts w:ascii="仿宋_GB2312" w:hAnsi="仿宋" w:eastAsia="仿宋_GB2312"/>
          <w:bCs/>
          <w:sz w:val="28"/>
          <w:szCs w:val="28"/>
        </w:rPr>
      </w:pPr>
      <w:r>
        <w:rPr>
          <w:rFonts w:hint="eastAsia" w:ascii="仿宋_GB2312" w:hAnsi="仿宋" w:eastAsia="仿宋_GB2312"/>
          <w:b/>
          <w:sz w:val="28"/>
          <w:szCs w:val="28"/>
        </w:rPr>
        <w:t>本次采购不接受联合体响应。</w:t>
      </w:r>
    </w:p>
    <w:p>
      <w:pPr>
        <w:keepNext w:val="0"/>
        <w:keepLines w:val="0"/>
        <w:pageBreakBefore w:val="0"/>
        <w:kinsoku/>
        <w:wordWrap/>
        <w:overflowPunct/>
        <w:topLinePunct w:val="0"/>
        <w:autoSpaceDE/>
        <w:autoSpaceDN/>
        <w:bidi w:val="0"/>
        <w:adjustRightInd/>
        <w:spacing w:line="560" w:lineRule="atLeast"/>
        <w:ind w:firstLine="562" w:firstLineChars="200"/>
        <w:jc w:val="left"/>
        <w:textAlignment w:val="auto"/>
        <w:rPr>
          <w:rFonts w:ascii="仿宋_GB2312" w:hAnsi="仿宋" w:eastAsia="仿宋_GB2312"/>
          <w:b/>
          <w:sz w:val="28"/>
          <w:szCs w:val="28"/>
        </w:rPr>
      </w:pPr>
      <w:r>
        <w:rPr>
          <w:rFonts w:hint="eastAsia" w:ascii="仿宋_GB2312" w:hAnsi="仿宋" w:eastAsia="仿宋_GB2312"/>
          <w:b/>
          <w:sz w:val="28"/>
          <w:szCs w:val="28"/>
        </w:rPr>
        <w:t>凡不符合以上资格要求的供应商，均不得参加本次竞争性谈判，否则该响应无效。</w:t>
      </w:r>
    </w:p>
    <w:p>
      <w:pPr>
        <w:keepNext w:val="0"/>
        <w:keepLines w:val="0"/>
        <w:pageBreakBefore w:val="0"/>
        <w:kinsoku/>
        <w:wordWrap/>
        <w:overflowPunct/>
        <w:topLinePunct w:val="0"/>
        <w:autoSpaceDE/>
        <w:autoSpaceDN/>
        <w:bidi w:val="0"/>
        <w:adjustRightInd/>
        <w:spacing w:line="560" w:lineRule="atLeast"/>
        <w:textAlignment w:val="auto"/>
        <w:rPr>
          <w:rFonts w:ascii="仿宋_GB2312" w:hAnsi="仿宋" w:eastAsia="仿宋_GB2312"/>
          <w:color w:val="000000"/>
          <w:sz w:val="28"/>
          <w:szCs w:val="28"/>
        </w:rPr>
      </w:pPr>
      <w:r>
        <w:rPr>
          <w:rFonts w:hint="eastAsia" w:ascii="Arial" w:hAnsi="Arial" w:cs="Arial"/>
          <w:b/>
          <w:color w:val="000000"/>
          <w:kern w:val="0"/>
          <w:sz w:val="28"/>
          <w:szCs w:val="28"/>
        </w:rPr>
        <w:t>七、其他要求</w:t>
      </w:r>
    </w:p>
    <w:p>
      <w:pPr>
        <w:keepNext w:val="0"/>
        <w:keepLines w:val="0"/>
        <w:pageBreakBefore w:val="0"/>
        <w:widowControl/>
        <w:kinsoku/>
        <w:wordWrap/>
        <w:overflowPunct/>
        <w:topLinePunct w:val="0"/>
        <w:autoSpaceDE/>
        <w:autoSpaceDN/>
        <w:bidi w:val="0"/>
        <w:adjustRightInd/>
        <w:spacing w:line="560" w:lineRule="atLeast"/>
        <w:ind w:firstLine="556"/>
        <w:jc w:val="left"/>
        <w:textAlignment w:val="auto"/>
        <w:rPr>
          <w:rFonts w:ascii="仿宋_GB2312" w:hAnsi="仿宋" w:eastAsia="仿宋_GB2312"/>
          <w:color w:val="000000"/>
          <w:sz w:val="28"/>
          <w:szCs w:val="28"/>
        </w:rPr>
      </w:pPr>
      <w:r>
        <w:rPr>
          <w:rFonts w:hint="eastAsia" w:ascii="仿宋_GB2312" w:hAnsi="仿宋" w:eastAsia="仿宋_GB2312"/>
          <w:color w:val="000000"/>
          <w:sz w:val="28"/>
          <w:szCs w:val="28"/>
        </w:rPr>
        <w:t>此次报价均为含税价格, 此次报价包含人工费、技术服务费、税费费用等相关所有费用。</w:t>
      </w:r>
    </w:p>
    <w:p>
      <w:pPr>
        <w:keepNext w:val="0"/>
        <w:keepLines w:val="0"/>
        <w:pageBreakBefore w:val="0"/>
        <w:kinsoku/>
        <w:wordWrap/>
        <w:overflowPunct/>
        <w:topLinePunct w:val="0"/>
        <w:autoSpaceDE/>
        <w:autoSpaceDN/>
        <w:bidi w:val="0"/>
        <w:adjustRightInd/>
        <w:spacing w:line="560" w:lineRule="atLeast"/>
        <w:jc w:val="left"/>
        <w:textAlignment w:val="auto"/>
        <w:rPr>
          <w:rFonts w:ascii="Arial" w:hAnsi="Arial" w:cs="Arial"/>
          <w:b/>
          <w:color w:val="000000"/>
          <w:kern w:val="0"/>
          <w:sz w:val="28"/>
          <w:szCs w:val="28"/>
        </w:rPr>
      </w:pPr>
      <w:r>
        <w:rPr>
          <w:rFonts w:hint="eastAsia" w:ascii="Arial" w:hAnsi="Arial" w:cs="Arial"/>
          <w:b/>
          <w:color w:val="000000"/>
          <w:kern w:val="0"/>
          <w:sz w:val="28"/>
          <w:szCs w:val="28"/>
        </w:rPr>
        <w:t>八、竞争性谈判文件获取方式：</w:t>
      </w:r>
    </w:p>
    <w:p>
      <w:pPr>
        <w:keepNext w:val="0"/>
        <w:keepLines w:val="0"/>
        <w:pageBreakBefore w:val="0"/>
        <w:widowControl/>
        <w:kinsoku/>
        <w:wordWrap/>
        <w:overflowPunct/>
        <w:topLinePunct w:val="0"/>
        <w:autoSpaceDE/>
        <w:autoSpaceDN/>
        <w:bidi w:val="0"/>
        <w:adjustRightInd/>
        <w:spacing w:line="560" w:lineRule="atLeast"/>
        <w:ind w:firstLine="556"/>
        <w:jc w:val="left"/>
        <w:textAlignment w:val="auto"/>
        <w:rPr>
          <w:rFonts w:ascii="仿宋_GB2312" w:hAnsi="仿宋" w:eastAsia="仿宋_GB2312"/>
          <w:sz w:val="28"/>
          <w:szCs w:val="28"/>
        </w:rPr>
      </w:pPr>
      <w:r>
        <w:rPr>
          <w:rFonts w:hint="eastAsia" w:ascii="仿宋_GB2312" w:hAnsi="仿宋" w:eastAsia="仿宋_GB2312"/>
          <w:sz w:val="28"/>
          <w:szCs w:val="28"/>
        </w:rPr>
        <w:t>邮件、网站下载或纸质版获取。</w:t>
      </w:r>
    </w:p>
    <w:p>
      <w:pPr>
        <w:keepNext w:val="0"/>
        <w:keepLines w:val="0"/>
        <w:pageBreakBefore w:val="0"/>
        <w:widowControl/>
        <w:kinsoku/>
        <w:wordWrap/>
        <w:overflowPunct/>
        <w:topLinePunct w:val="0"/>
        <w:autoSpaceDE/>
        <w:autoSpaceDN/>
        <w:bidi w:val="0"/>
        <w:adjustRightInd/>
        <w:spacing w:line="560" w:lineRule="atLeast"/>
        <w:ind w:firstLine="556"/>
        <w:jc w:val="left"/>
        <w:textAlignment w:val="auto"/>
        <w:rPr>
          <w:rFonts w:ascii="仿宋_GB2312" w:hAnsi="仿宋" w:eastAsia="仿宋_GB2312"/>
          <w:sz w:val="28"/>
          <w:szCs w:val="28"/>
        </w:rPr>
      </w:pPr>
      <w:r>
        <w:rPr>
          <w:rFonts w:hint="eastAsia" w:ascii="仿宋_GB2312" w:hAnsi="仿宋" w:eastAsia="仿宋_GB2312"/>
          <w:sz w:val="28"/>
          <w:szCs w:val="28"/>
        </w:rPr>
        <w:t>下载地址：</w:t>
      </w:r>
      <w:r>
        <w:fldChar w:fldCharType="begin"/>
      </w:r>
      <w:r>
        <w:instrText xml:space="preserve"> HYPERLINK "http://www.scgrhj.com/" </w:instrText>
      </w:r>
      <w:r>
        <w:fldChar w:fldCharType="separate"/>
      </w:r>
      <w:r>
        <w:rPr>
          <w:rFonts w:hint="eastAsia" w:ascii="仿宋_GB2312" w:hAnsi="仿宋" w:eastAsia="仿宋_GB2312"/>
          <w:sz w:val="28"/>
          <w:szCs w:val="28"/>
        </w:rPr>
        <w:t>http://www.scgrhj.com/</w:t>
      </w:r>
      <w:r>
        <w:rPr>
          <w:rFonts w:hint="eastAsia" w:ascii="仿宋_GB2312" w:hAnsi="仿宋" w:eastAsia="仿宋_GB2312"/>
          <w:sz w:val="28"/>
          <w:szCs w:val="28"/>
        </w:rPr>
        <w:fldChar w:fldCharType="end"/>
      </w:r>
    </w:p>
    <w:p>
      <w:pPr>
        <w:keepNext w:val="0"/>
        <w:keepLines w:val="0"/>
        <w:pageBreakBefore w:val="0"/>
        <w:kinsoku/>
        <w:wordWrap/>
        <w:overflowPunct/>
        <w:topLinePunct w:val="0"/>
        <w:autoSpaceDE/>
        <w:autoSpaceDN/>
        <w:bidi w:val="0"/>
        <w:adjustRightInd/>
        <w:spacing w:line="560" w:lineRule="atLeast"/>
        <w:jc w:val="left"/>
        <w:textAlignment w:val="auto"/>
        <w:rPr>
          <w:rFonts w:ascii="Arial" w:hAnsi="Arial" w:cs="Arial"/>
          <w:b/>
          <w:color w:val="000000"/>
          <w:kern w:val="0"/>
          <w:sz w:val="28"/>
          <w:szCs w:val="28"/>
        </w:rPr>
      </w:pPr>
      <w:r>
        <w:rPr>
          <w:rFonts w:hint="eastAsia" w:ascii="Arial" w:hAnsi="Arial" w:cs="Arial"/>
          <w:b/>
          <w:color w:val="000000"/>
          <w:kern w:val="0"/>
          <w:sz w:val="28"/>
          <w:szCs w:val="28"/>
        </w:rPr>
        <w:t>九、响应文件递交截止时间及地点：</w:t>
      </w:r>
    </w:p>
    <w:p>
      <w:pPr>
        <w:keepNext w:val="0"/>
        <w:keepLines w:val="0"/>
        <w:pageBreakBefore w:val="0"/>
        <w:kinsoku/>
        <w:wordWrap/>
        <w:overflowPunct/>
        <w:topLinePunct w:val="0"/>
        <w:autoSpaceDE/>
        <w:autoSpaceDN/>
        <w:bidi w:val="0"/>
        <w:adjustRightInd/>
        <w:spacing w:line="560" w:lineRule="atLeast"/>
        <w:ind w:firstLine="560" w:firstLineChars="200"/>
        <w:jc w:val="left"/>
        <w:textAlignment w:val="auto"/>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sz w:val="28"/>
          <w:szCs w:val="28"/>
        </w:rPr>
        <w:t>（一）</w:t>
      </w:r>
      <w:r>
        <w:rPr>
          <w:rFonts w:hint="eastAsia" w:ascii="仿宋_GB2312" w:hAnsi="仿宋" w:eastAsia="仿宋_GB2312"/>
          <w:color w:val="000000" w:themeColor="text1"/>
          <w:sz w:val="28"/>
          <w:szCs w:val="28"/>
          <w14:textFill>
            <w14:solidFill>
              <w14:schemeClr w14:val="tx1"/>
            </w14:solidFill>
          </w14:textFill>
        </w:rPr>
        <w:t>响应文件递交截止时间为2021年</w:t>
      </w:r>
      <w:r>
        <w:rPr>
          <w:rFonts w:hint="eastAsia" w:ascii="仿宋_GB2312" w:hAnsi="仿宋" w:eastAsia="仿宋_GB2312"/>
          <w:color w:val="000000" w:themeColor="text1"/>
          <w:sz w:val="28"/>
          <w:szCs w:val="28"/>
          <w:lang w:val="en-US" w:eastAsia="zh-CN"/>
          <w14:textFill>
            <w14:solidFill>
              <w14:schemeClr w14:val="tx1"/>
            </w14:solidFill>
          </w14:textFill>
        </w:rPr>
        <w:t>6</w:t>
      </w:r>
      <w:r>
        <w:rPr>
          <w:rFonts w:hint="eastAsia" w:ascii="仿宋_GB2312" w:hAnsi="仿宋" w:eastAsia="仿宋_GB2312"/>
          <w:color w:val="000000" w:themeColor="text1"/>
          <w:sz w:val="28"/>
          <w:szCs w:val="28"/>
          <w14:textFill>
            <w14:solidFill>
              <w14:schemeClr w14:val="tx1"/>
            </w14:solidFill>
          </w14:textFill>
        </w:rPr>
        <w:t>月</w:t>
      </w:r>
      <w:r>
        <w:rPr>
          <w:rFonts w:hint="eastAsia" w:ascii="仿宋_GB2312" w:hAnsi="仿宋" w:eastAsia="仿宋_GB2312"/>
          <w:color w:val="000000" w:themeColor="text1"/>
          <w:sz w:val="28"/>
          <w:szCs w:val="28"/>
          <w:lang w:val="en-US" w:eastAsia="zh-CN"/>
          <w14:textFill>
            <w14:solidFill>
              <w14:schemeClr w14:val="tx1"/>
            </w14:solidFill>
          </w14:textFill>
        </w:rPr>
        <w:t>7</w:t>
      </w:r>
      <w:r>
        <w:rPr>
          <w:rFonts w:hint="eastAsia" w:ascii="仿宋_GB2312" w:hAnsi="仿宋" w:eastAsia="仿宋_GB2312"/>
          <w:color w:val="000000" w:themeColor="text1"/>
          <w:sz w:val="28"/>
          <w:szCs w:val="28"/>
          <w14:textFill>
            <w14:solidFill>
              <w14:schemeClr w14:val="tx1"/>
            </w14:solidFill>
          </w14:textFill>
        </w:rPr>
        <w:t>日</w:t>
      </w:r>
      <w:r>
        <w:rPr>
          <w:rFonts w:hint="eastAsia" w:ascii="仿宋_GB2312" w:hAnsi="仿宋" w:eastAsia="仿宋_GB2312"/>
          <w:color w:val="000000" w:themeColor="text1"/>
          <w:sz w:val="28"/>
          <w:szCs w:val="28"/>
          <w:lang w:val="en-US" w:eastAsia="zh-CN"/>
          <w14:textFill>
            <w14:solidFill>
              <w14:schemeClr w14:val="tx1"/>
            </w14:solidFill>
          </w14:textFill>
        </w:rPr>
        <w:t>15</w:t>
      </w:r>
      <w:r>
        <w:rPr>
          <w:rFonts w:hint="eastAsia" w:ascii="仿宋_GB2312" w:hAnsi="仿宋" w:eastAsia="仿宋_GB2312"/>
          <w:color w:val="000000" w:themeColor="text1"/>
          <w:sz w:val="28"/>
          <w:szCs w:val="28"/>
          <w14:textFill>
            <w14:solidFill>
              <w14:schemeClr w14:val="tx1"/>
            </w14:solidFill>
          </w14:textFill>
        </w:rPr>
        <w:t>:00时，谈判开始时间为2021年</w:t>
      </w:r>
      <w:r>
        <w:rPr>
          <w:rFonts w:hint="eastAsia" w:ascii="仿宋_GB2312" w:hAnsi="仿宋" w:eastAsia="仿宋_GB2312"/>
          <w:color w:val="000000" w:themeColor="text1"/>
          <w:sz w:val="28"/>
          <w:szCs w:val="28"/>
          <w:lang w:val="en-US" w:eastAsia="zh-CN"/>
          <w14:textFill>
            <w14:solidFill>
              <w14:schemeClr w14:val="tx1"/>
            </w14:solidFill>
          </w14:textFill>
        </w:rPr>
        <w:t>6</w:t>
      </w:r>
      <w:r>
        <w:rPr>
          <w:rFonts w:hint="eastAsia" w:ascii="仿宋_GB2312" w:hAnsi="仿宋" w:eastAsia="仿宋_GB2312"/>
          <w:color w:val="000000" w:themeColor="text1"/>
          <w:sz w:val="28"/>
          <w:szCs w:val="28"/>
          <w14:textFill>
            <w14:solidFill>
              <w14:schemeClr w14:val="tx1"/>
            </w14:solidFill>
          </w14:textFill>
        </w:rPr>
        <w:t>月</w:t>
      </w:r>
      <w:r>
        <w:rPr>
          <w:rFonts w:hint="eastAsia" w:ascii="仿宋_GB2312" w:hAnsi="仿宋" w:eastAsia="仿宋_GB2312"/>
          <w:color w:val="000000" w:themeColor="text1"/>
          <w:sz w:val="28"/>
          <w:szCs w:val="28"/>
          <w:lang w:val="en-US" w:eastAsia="zh-CN"/>
          <w14:textFill>
            <w14:solidFill>
              <w14:schemeClr w14:val="tx1"/>
            </w14:solidFill>
          </w14:textFill>
        </w:rPr>
        <w:t>7</w:t>
      </w:r>
      <w:r>
        <w:rPr>
          <w:rFonts w:hint="eastAsia" w:ascii="仿宋_GB2312" w:hAnsi="仿宋" w:eastAsia="仿宋_GB2312"/>
          <w:color w:val="000000" w:themeColor="text1"/>
          <w:sz w:val="28"/>
          <w:szCs w:val="28"/>
          <w14:textFill>
            <w14:solidFill>
              <w14:schemeClr w14:val="tx1"/>
            </w14:solidFill>
          </w14:textFill>
        </w:rPr>
        <w:t>日15:00时；</w:t>
      </w:r>
    </w:p>
    <w:p>
      <w:pPr>
        <w:pStyle w:val="56"/>
        <w:keepNext w:val="0"/>
        <w:keepLines w:val="0"/>
        <w:pageBreakBefore w:val="0"/>
        <w:kinsoku/>
        <w:wordWrap/>
        <w:overflowPunct/>
        <w:topLinePunct w:val="0"/>
        <w:autoSpaceDE/>
        <w:autoSpaceDN/>
        <w:bidi w:val="0"/>
        <w:adjustRightInd/>
        <w:spacing w:before="0" w:after="0" w:line="560" w:lineRule="atLeast"/>
        <w:textAlignment w:val="auto"/>
        <w:rPr>
          <w:rFonts w:ascii="仿宋_GB2312" w:hAnsi="仿宋" w:eastAsia="仿宋_GB2312"/>
          <w:bCs/>
          <w:color w:val="000000"/>
        </w:rPr>
      </w:pPr>
      <w:r>
        <w:rPr>
          <w:rFonts w:hint="eastAsia" w:ascii="仿宋_GB2312" w:hAnsi="仿宋" w:eastAsia="仿宋_GB2312"/>
          <w:bCs/>
          <w:color w:val="000000"/>
        </w:rPr>
        <w:t>（二）响应文件递交及竞争性谈判地点：</w:t>
      </w:r>
    </w:p>
    <w:p>
      <w:pPr>
        <w:pStyle w:val="56"/>
        <w:keepNext w:val="0"/>
        <w:keepLines w:val="0"/>
        <w:pageBreakBefore w:val="0"/>
        <w:kinsoku/>
        <w:wordWrap/>
        <w:overflowPunct/>
        <w:topLinePunct w:val="0"/>
        <w:autoSpaceDE/>
        <w:autoSpaceDN/>
        <w:bidi w:val="0"/>
        <w:adjustRightInd/>
        <w:spacing w:before="0" w:after="0" w:line="560" w:lineRule="atLeast"/>
        <w:textAlignment w:val="auto"/>
        <w:rPr>
          <w:rFonts w:ascii="仿宋_GB2312" w:hAnsi="仿宋" w:eastAsia="仿宋_GB2312"/>
          <w:b/>
        </w:rPr>
      </w:pPr>
      <w:r>
        <w:rPr>
          <w:rFonts w:hint="eastAsia" w:ascii="仿宋_GB2312" w:hAnsi="仿宋" w:eastAsia="仿宋_GB2312"/>
          <w:color w:val="000000"/>
        </w:rPr>
        <w:t>所有响应文件必须在截止时间之前递交到</w:t>
      </w:r>
      <w:r>
        <w:rPr>
          <w:rFonts w:hint="eastAsia" w:ascii="仿宋_GB2312" w:hAnsi="仿宋" w:eastAsia="仿宋_GB2312" w:cs="Times New Roman"/>
          <w:bCs/>
          <w:color w:val="000000" w:themeColor="text1"/>
          <w:kern w:val="2"/>
          <w:lang w:eastAsia="zh-CN"/>
          <w14:textFill>
            <w14:solidFill>
              <w14:schemeClr w14:val="tx1"/>
            </w14:solidFill>
          </w14:textFill>
        </w:rPr>
        <w:t>南部县国润排水有限公司</w:t>
      </w:r>
      <w:r>
        <w:rPr>
          <w:rFonts w:hint="eastAsia" w:ascii="仿宋" w:hAnsi="仿宋" w:eastAsia="仿宋" w:cs="仿宋"/>
          <w:color w:val="000000"/>
          <w:sz w:val="28"/>
          <w:szCs w:val="28"/>
          <w:lang w:val="en-US" w:eastAsia="zh-CN"/>
        </w:rPr>
        <w:t>厂区（二楼）会议室</w:t>
      </w:r>
      <w:r>
        <w:rPr>
          <w:rFonts w:hint="eastAsia" w:ascii="仿宋_GB2312" w:hAnsi="仿宋" w:eastAsia="仿宋_GB2312"/>
          <w:color w:val="000000"/>
        </w:rPr>
        <w:t>（竞争性谈判地点），</w:t>
      </w:r>
      <w:r>
        <w:rPr>
          <w:rFonts w:hint="eastAsia" w:ascii="仿宋_GB2312" w:hAnsi="仿宋" w:eastAsia="仿宋_GB2312"/>
          <w:bCs/>
          <w:color w:val="000000"/>
        </w:rPr>
        <w:t>逾期不予接收。</w:t>
      </w:r>
      <w:r>
        <w:rPr>
          <w:rFonts w:hint="eastAsia" w:ascii="仿宋_GB2312" w:hAnsi="仿宋" w:eastAsia="仿宋_GB2312"/>
          <w:b/>
        </w:rPr>
        <w:t>【允许以快递方式送达，但响应供应商法定代表人或授权代表必须于竞争性谈判时到达现场参加二次报价和竞争性谈判，否则视为弃权】</w:t>
      </w:r>
    </w:p>
    <w:p>
      <w:pPr>
        <w:kinsoku/>
        <w:wordWrap/>
        <w:overflowPunct/>
        <w:bidi w:val="0"/>
        <w:spacing w:line="560" w:lineRule="atLeast"/>
        <w:jc w:val="left"/>
        <w:textAlignment w:val="auto"/>
        <w:rPr>
          <w:rFonts w:ascii="Arial" w:hAnsi="Arial" w:cs="Arial"/>
          <w:b/>
          <w:color w:val="000000"/>
          <w:kern w:val="0"/>
          <w:sz w:val="28"/>
          <w:szCs w:val="28"/>
        </w:rPr>
      </w:pPr>
      <w:r>
        <w:rPr>
          <w:rFonts w:hint="eastAsia" w:ascii="Arial" w:hAnsi="Arial" w:cs="Arial"/>
          <w:b/>
          <w:color w:val="000000"/>
          <w:kern w:val="0"/>
          <w:sz w:val="28"/>
          <w:szCs w:val="28"/>
        </w:rPr>
        <w:t>十、联系方式</w:t>
      </w:r>
    </w:p>
    <w:p>
      <w:pPr>
        <w:pStyle w:val="56"/>
        <w:kinsoku/>
        <w:wordWrap/>
        <w:overflowPunct/>
        <w:bidi w:val="0"/>
        <w:spacing w:before="0" w:after="0" w:line="560" w:lineRule="atLeas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采购人：</w:t>
      </w:r>
    </w:p>
    <w:p>
      <w:pPr>
        <w:pStyle w:val="56"/>
        <w:kinsoku/>
        <w:wordWrap/>
        <w:overflowPunct/>
        <w:bidi w:val="0"/>
        <w:spacing w:before="0" w:after="0" w:line="560" w:lineRule="atLeas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南部县国润排水有限公司</w:t>
      </w:r>
    </w:p>
    <w:p>
      <w:pPr>
        <w:pStyle w:val="56"/>
        <w:kinsoku/>
        <w:wordWrap/>
        <w:overflowPunct/>
        <w:bidi w:val="0"/>
        <w:spacing w:before="0" w:after="0" w:line="560" w:lineRule="atLeas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仪陇国润排水有限公司</w:t>
      </w:r>
    </w:p>
    <w:p>
      <w:pPr>
        <w:pStyle w:val="56"/>
        <w:kinsoku/>
        <w:wordWrap/>
        <w:overflowPunct/>
        <w:bidi w:val="0"/>
        <w:spacing w:before="0" w:after="0" w:line="560" w:lineRule="atLeas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南充国润排水有限公司</w:t>
      </w:r>
    </w:p>
    <w:p>
      <w:pPr>
        <w:pStyle w:val="56"/>
        <w:kinsoku/>
        <w:wordWrap/>
        <w:overflowPunct/>
        <w:bidi w:val="0"/>
        <w:spacing w:before="0" w:after="0" w:line="560" w:lineRule="atLeast"/>
        <w:ind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南充国润荆溪排水有限公司</w:t>
      </w:r>
    </w:p>
    <w:p>
      <w:pPr>
        <w:pStyle w:val="56"/>
        <w:kinsoku/>
        <w:wordWrap/>
        <w:overflowPunct/>
        <w:bidi w:val="0"/>
        <w:spacing w:before="0" w:after="0" w:line="560" w:lineRule="atLeas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遂宁国润排水有限公司</w:t>
      </w:r>
    </w:p>
    <w:p>
      <w:pPr>
        <w:kinsoku/>
        <w:wordWrap/>
        <w:overflowPunct/>
        <w:bidi w:val="0"/>
        <w:spacing w:line="560" w:lineRule="atLeast"/>
        <w:ind w:firstLine="560" w:firstLineChars="200"/>
        <w:textAlignment w:val="auto"/>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xml:space="preserve">联系人： </w:t>
      </w:r>
      <w:r>
        <w:rPr>
          <w:rFonts w:hint="eastAsia" w:ascii="仿宋_GB2312" w:hAnsi="仿宋" w:eastAsia="仿宋_GB2312"/>
          <w:color w:val="000000" w:themeColor="text1"/>
          <w:sz w:val="28"/>
          <w:szCs w:val="28"/>
          <w:lang w:eastAsia="zh-CN"/>
          <w14:textFill>
            <w14:solidFill>
              <w14:schemeClr w14:val="tx1"/>
            </w14:solidFill>
          </w14:textFill>
        </w:rPr>
        <w:t>郑女士</w:t>
      </w:r>
    </w:p>
    <w:p>
      <w:pPr>
        <w:kinsoku/>
        <w:wordWrap/>
        <w:overflowPunct/>
        <w:bidi w:val="0"/>
        <w:spacing w:line="560" w:lineRule="atLeast"/>
        <w:ind w:firstLine="560" w:firstLineChars="200"/>
        <w:textAlignment w:val="auto"/>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电  话：</w:t>
      </w:r>
      <w:r>
        <w:rPr>
          <w:rFonts w:hint="eastAsia" w:ascii="仿宋_GB2312" w:hAnsi="仿宋" w:eastAsia="仿宋_GB2312"/>
          <w:color w:val="000000" w:themeColor="text1"/>
          <w:sz w:val="28"/>
          <w:szCs w:val="28"/>
          <w:lang w:val="en-US" w:eastAsia="zh-CN"/>
          <w14:textFill>
            <w14:solidFill>
              <w14:schemeClr w14:val="tx1"/>
            </w14:solidFill>
          </w14:textFill>
        </w:rPr>
        <w:t>15528853331</w:t>
      </w:r>
      <w:r>
        <w:rPr>
          <w:rFonts w:hint="eastAsia" w:ascii="仿宋_GB2312" w:hAnsi="仿宋" w:eastAsia="仿宋_GB2312"/>
          <w:color w:val="000000" w:themeColor="text1"/>
          <w:sz w:val="28"/>
          <w:szCs w:val="28"/>
          <w14:textFill>
            <w14:solidFill>
              <w14:schemeClr w14:val="tx1"/>
            </w14:solidFill>
          </w14:textFill>
        </w:rPr>
        <w:t xml:space="preserve">   </w:t>
      </w:r>
    </w:p>
    <w:p>
      <w:pPr>
        <w:kinsoku/>
        <w:wordWrap/>
        <w:overflowPunct/>
        <w:bidi w:val="0"/>
        <w:spacing w:line="560" w:lineRule="atLeast"/>
        <w:ind w:firstLine="560" w:firstLineChars="200"/>
        <w:textAlignment w:val="auto"/>
        <w:rPr>
          <w:rFonts w:eastAsia="仿宋_GB2312"/>
          <w:color w:val="000000"/>
          <w:sz w:val="28"/>
          <w:szCs w:val="28"/>
        </w:rPr>
      </w:pPr>
      <w:r>
        <w:rPr>
          <w:rFonts w:hint="eastAsia" w:ascii="仿宋_GB2312" w:hAnsi="仿宋" w:eastAsia="仿宋_GB2312"/>
          <w:color w:val="000000" w:themeColor="text1"/>
          <w:sz w:val="28"/>
          <w:szCs w:val="28"/>
          <w14:textFill>
            <w14:solidFill>
              <w14:schemeClr w14:val="tx1"/>
            </w14:solidFill>
          </w14:textFill>
        </w:rPr>
        <w:t>邮  箱：</w:t>
      </w:r>
      <w:r>
        <w:rPr>
          <w:rFonts w:hint="eastAsia" w:ascii="仿宋_GB2312" w:hAnsi="仿宋" w:eastAsia="仿宋_GB2312"/>
          <w:color w:val="000000" w:themeColor="text1"/>
          <w:sz w:val="28"/>
          <w:szCs w:val="28"/>
          <w:lang w:val="en-US" w:eastAsia="zh-CN"/>
          <w14:textFill>
            <w14:solidFill>
              <w14:schemeClr w14:val="tx1"/>
            </w14:solidFill>
          </w14:textFill>
        </w:rPr>
        <w:t>749096536@qq.com</w:t>
      </w:r>
      <w:r>
        <w:rPr>
          <w:rFonts w:hint="eastAsia" w:eastAsia="仿宋_GB2312"/>
          <w:color w:val="000000" w:themeColor="text1"/>
          <w:sz w:val="28"/>
          <w:szCs w:val="28"/>
          <w14:textFill>
            <w14:solidFill>
              <w14:schemeClr w14:val="tx1"/>
            </w14:solidFill>
          </w14:textFill>
        </w:rPr>
        <w:t xml:space="preserve"> </w:t>
      </w:r>
    </w:p>
    <w:p>
      <w:pPr>
        <w:pStyle w:val="56"/>
        <w:kinsoku/>
        <w:wordWrap/>
        <w:overflowPunct/>
        <w:bidi w:val="0"/>
        <w:spacing w:before="0" w:after="0" w:line="560" w:lineRule="atLeast"/>
        <w:ind w:left="1188" w:hanging="1188" w:hangingChars="495"/>
        <w:jc w:val="right"/>
        <w:textAlignment w:val="auto"/>
        <w:rPr>
          <w:rFonts w:hint="eastAsia"/>
          <w:bCs/>
          <w:color w:val="auto"/>
          <w:sz w:val="24"/>
          <w:szCs w:val="24"/>
        </w:rPr>
      </w:pPr>
    </w:p>
    <w:p>
      <w:pPr>
        <w:pStyle w:val="56"/>
        <w:kinsoku/>
        <w:wordWrap/>
        <w:overflowPunct/>
        <w:bidi w:val="0"/>
        <w:spacing w:before="0" w:after="0" w:line="560" w:lineRule="atLeast"/>
        <w:ind w:left="6636" w:leftChars="2500" w:hanging="1386" w:hangingChars="495"/>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南部县国润排水有限公司</w:t>
      </w:r>
    </w:p>
    <w:p>
      <w:pPr>
        <w:pStyle w:val="56"/>
        <w:kinsoku/>
        <w:wordWrap/>
        <w:overflowPunct/>
        <w:bidi w:val="0"/>
        <w:spacing w:before="0" w:after="0" w:line="560" w:lineRule="atLeast"/>
        <w:ind w:left="6636" w:leftChars="2500" w:hanging="1386" w:hangingChars="495"/>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仪陇国润排水有限公司</w:t>
      </w:r>
    </w:p>
    <w:p>
      <w:pPr>
        <w:pStyle w:val="56"/>
        <w:kinsoku/>
        <w:wordWrap/>
        <w:overflowPunct/>
        <w:bidi w:val="0"/>
        <w:spacing w:before="0" w:after="0" w:line="560" w:lineRule="atLeast"/>
        <w:ind w:left="6636" w:leftChars="2500" w:hanging="1386" w:hangingChars="495"/>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南充国润排水有限公司</w:t>
      </w:r>
    </w:p>
    <w:p>
      <w:pPr>
        <w:pStyle w:val="39"/>
        <w:kinsoku/>
        <w:wordWrap/>
        <w:overflowPunct/>
        <w:bidi w:val="0"/>
        <w:spacing w:line="560" w:lineRule="atLeast"/>
        <w:ind w:left="5250" w:leftChars="2500"/>
        <w:jc w:val="left"/>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lang w:eastAsia="zh-CN"/>
        </w:rPr>
        <w:t>南充国润荆溪排水有限公司</w:t>
      </w:r>
    </w:p>
    <w:p>
      <w:pPr>
        <w:pStyle w:val="56"/>
        <w:kinsoku/>
        <w:wordWrap/>
        <w:overflowPunct/>
        <w:bidi w:val="0"/>
        <w:spacing w:before="0" w:after="0" w:line="560" w:lineRule="atLeast"/>
        <w:ind w:left="6636" w:leftChars="2500" w:hanging="1386" w:hangingChars="495"/>
        <w:jc w:val="left"/>
        <w:textAlignment w:val="auto"/>
        <w:rPr>
          <w:rFonts w:hint="eastAsia" w:ascii="仿宋" w:hAnsi="仿宋" w:eastAsia="仿宋" w:cs="仿宋"/>
          <w:sz w:val="28"/>
          <w:szCs w:val="28"/>
        </w:rPr>
      </w:pPr>
      <w:r>
        <w:rPr>
          <w:rFonts w:hint="eastAsia" w:ascii="仿宋" w:hAnsi="仿宋" w:eastAsia="仿宋" w:cs="仿宋"/>
          <w:bCs/>
          <w:color w:val="auto"/>
          <w:sz w:val="28"/>
          <w:szCs w:val="28"/>
        </w:rPr>
        <w:t>遂宁国润排水有限公司</w:t>
      </w:r>
    </w:p>
    <w:p>
      <w:pPr>
        <w:kinsoku/>
        <w:wordWrap/>
        <w:overflowPunct/>
        <w:bidi w:val="0"/>
        <w:spacing w:line="560" w:lineRule="atLeast"/>
        <w:ind w:firstLine="5320" w:firstLineChars="19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C00000"/>
          <w:sz w:val="28"/>
          <w:szCs w:val="28"/>
        </w:rPr>
        <w:t xml:space="preserve">  </w:t>
      </w:r>
      <w:r>
        <w:rPr>
          <w:rFonts w:hint="eastAsia" w:ascii="仿宋" w:hAnsi="仿宋" w:eastAsia="仿宋" w:cs="仿宋"/>
          <w:color w:val="000000" w:themeColor="text1"/>
          <w:sz w:val="28"/>
          <w:szCs w:val="28"/>
          <w14:textFill>
            <w14:solidFill>
              <w14:schemeClr w14:val="tx1"/>
            </w14:solidFill>
          </w14:textFill>
        </w:rPr>
        <w:t>2021年</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 xml:space="preserve"> 31</w:t>
      </w:r>
      <w:r>
        <w:rPr>
          <w:rFonts w:hint="eastAsia" w:ascii="仿宋" w:hAnsi="仿宋" w:eastAsia="仿宋" w:cs="仿宋"/>
          <w:color w:val="000000" w:themeColor="text1"/>
          <w:sz w:val="28"/>
          <w:szCs w:val="28"/>
          <w14:textFill>
            <w14:solidFill>
              <w14:schemeClr w14:val="tx1"/>
            </w14:solidFill>
          </w14:textFill>
        </w:rPr>
        <w:t>日</w:t>
      </w:r>
    </w:p>
    <w:p>
      <w:pPr>
        <w:pStyle w:val="3"/>
        <w:pageBreakBefore/>
        <w:numPr>
          <w:ilvl w:val="0"/>
          <w:numId w:val="0"/>
        </w:numPr>
        <w:kinsoku/>
        <w:wordWrap/>
        <w:overflowPunct/>
        <w:bidi w:val="0"/>
        <w:spacing w:line="560" w:lineRule="atLeast"/>
        <w:jc w:val="center"/>
        <w:textAlignment w:val="auto"/>
      </w:pPr>
      <w:r>
        <w:rPr>
          <w:rFonts w:hint="eastAsia"/>
        </w:rPr>
        <w:t>第二部分  竞争性谈判供应商须知</w:t>
      </w:r>
      <w:bookmarkEnd w:id="2"/>
    </w:p>
    <w:p>
      <w:pPr>
        <w:pStyle w:val="2"/>
        <w:numPr>
          <w:ilvl w:val="0"/>
          <w:numId w:val="9"/>
        </w:numPr>
        <w:kinsoku/>
        <w:wordWrap/>
        <w:overflowPunct/>
        <w:bidi w:val="0"/>
        <w:spacing w:line="560" w:lineRule="atLeast"/>
        <w:textAlignment w:val="auto"/>
      </w:pPr>
      <w:bookmarkStart w:id="5" w:name="_Toc19595"/>
      <w:bookmarkStart w:id="6" w:name="_Toc29261"/>
      <w:r>
        <w:rPr>
          <w:rFonts w:hint="eastAsia"/>
        </w:rPr>
        <w:t>对供应商的要求</w:t>
      </w:r>
      <w:bookmarkEnd w:id="5"/>
      <w:bookmarkEnd w:id="6"/>
    </w:p>
    <w:p>
      <w:pPr>
        <w:kinsoku/>
        <w:wordWrap/>
        <w:overflowPunct/>
        <w:bidi w:val="0"/>
        <w:spacing w:line="560" w:lineRule="atLeast"/>
        <w:ind w:firstLine="562" w:firstLineChars="200"/>
        <w:jc w:val="left"/>
        <w:textAlignment w:val="auto"/>
        <w:rPr>
          <w:rFonts w:ascii="仿宋_GB2312" w:hAnsi="仿宋_GB2312" w:eastAsia="仿宋_GB2312" w:cs="仿宋_GB2312"/>
          <w:b/>
          <w:bCs/>
          <w:sz w:val="32"/>
          <w:szCs w:val="32"/>
        </w:rPr>
      </w:pPr>
      <w:r>
        <w:rPr>
          <w:rFonts w:hint="eastAsia" w:ascii="仿宋_GB2312" w:hAnsi="仿宋" w:eastAsia="仿宋_GB2312"/>
          <w:b/>
          <w:sz w:val="28"/>
          <w:szCs w:val="28"/>
        </w:rPr>
        <w:t>1、具有在中华人民共和国注册的独立企业法人资格（法定代表人为同一个人的两个及两个以上法人，母公司、全资子公司及其控股公司，不得同时参加谈判）；</w:t>
      </w:r>
      <w:r>
        <w:rPr>
          <w:rFonts w:hint="eastAsia" w:ascii="仿宋_GB2312" w:hAnsi="仿宋_GB2312" w:eastAsia="仿宋_GB2312" w:cs="仿宋_GB2312"/>
          <w:b/>
          <w:bCs/>
          <w:sz w:val="32"/>
          <w:szCs w:val="32"/>
        </w:rPr>
        <w:t xml:space="preserve"> </w:t>
      </w:r>
    </w:p>
    <w:p>
      <w:pPr>
        <w:pStyle w:val="4"/>
        <w:kinsoku/>
        <w:wordWrap/>
        <w:overflowPunct/>
        <w:bidi w:val="0"/>
        <w:spacing w:before="0" w:after="0" w:line="560" w:lineRule="atLeast"/>
        <w:ind w:left="1001" w:leftChars="309" w:hanging="352" w:hangingChars="126"/>
        <w:jc w:val="left"/>
        <w:textAlignment w:val="auto"/>
        <w:rPr>
          <w:rFonts w:ascii="仿宋_GB2312" w:hAnsi="仿宋" w:eastAsia="仿宋_GB2312"/>
          <w:sz w:val="28"/>
          <w:szCs w:val="28"/>
        </w:rPr>
      </w:pPr>
      <w:r>
        <w:rPr>
          <w:rFonts w:hint="eastAsia" w:ascii="仿宋_GB2312" w:hAnsi="仿宋" w:eastAsia="仿宋_GB2312"/>
          <w:sz w:val="28"/>
          <w:szCs w:val="28"/>
        </w:rPr>
        <w:t>2、企业资质：</w:t>
      </w:r>
    </w:p>
    <w:p>
      <w:pPr>
        <w:pStyle w:val="4"/>
        <w:kinsoku/>
        <w:wordWrap/>
        <w:overflowPunct/>
        <w:bidi w:val="0"/>
        <w:spacing w:before="0" w:after="0" w:line="560" w:lineRule="atLeast"/>
        <w:ind w:left="1001" w:leftChars="309" w:hanging="352" w:hangingChars="126"/>
        <w:jc w:val="left"/>
        <w:textAlignment w:val="auto"/>
        <w:rPr>
          <w:rFonts w:ascii="仿宋_GB2312" w:hAnsi="仿宋" w:eastAsia="仿宋_GB2312"/>
          <w:sz w:val="28"/>
          <w:szCs w:val="28"/>
        </w:rPr>
      </w:pPr>
      <w:r>
        <w:rPr>
          <w:rFonts w:hint="eastAsia" w:ascii="仿宋_GB2312" w:hAnsi="仿宋" w:eastAsia="仿宋_GB2312"/>
          <w:sz w:val="28"/>
          <w:szCs w:val="28"/>
        </w:rPr>
        <w:t>（1）具有独立承担民事责任的能力；</w:t>
      </w:r>
    </w:p>
    <w:p>
      <w:pPr>
        <w:pStyle w:val="4"/>
        <w:kinsoku/>
        <w:wordWrap/>
        <w:overflowPunct/>
        <w:bidi w:val="0"/>
        <w:spacing w:before="0" w:after="0" w:line="560" w:lineRule="atLeast"/>
        <w:ind w:left="1001" w:leftChars="309" w:hanging="352" w:hangingChars="126"/>
        <w:jc w:val="left"/>
        <w:textAlignment w:val="auto"/>
        <w:rPr>
          <w:rFonts w:ascii="仿宋_GB2312" w:hAnsi="仿宋" w:eastAsia="仿宋_GB2312"/>
          <w:sz w:val="28"/>
          <w:szCs w:val="28"/>
        </w:rPr>
      </w:pPr>
      <w:r>
        <w:rPr>
          <w:rFonts w:hint="eastAsia" w:ascii="仿宋_GB2312" w:hAnsi="仿宋" w:eastAsia="仿宋_GB2312"/>
          <w:sz w:val="28"/>
          <w:szCs w:val="28"/>
        </w:rPr>
        <w:t>（2）具有良好的商业信誉和健全的财务会计制度；</w:t>
      </w:r>
    </w:p>
    <w:p>
      <w:pPr>
        <w:pStyle w:val="4"/>
        <w:kinsoku/>
        <w:wordWrap/>
        <w:overflowPunct/>
        <w:bidi w:val="0"/>
        <w:spacing w:before="0" w:after="0" w:line="560" w:lineRule="atLeast"/>
        <w:ind w:left="1001" w:leftChars="309" w:hanging="352" w:hangingChars="126"/>
        <w:jc w:val="left"/>
        <w:textAlignment w:val="auto"/>
        <w:rPr>
          <w:rFonts w:ascii="仿宋_GB2312" w:hAnsi="仿宋" w:eastAsia="仿宋_GB2312"/>
          <w:sz w:val="28"/>
          <w:szCs w:val="28"/>
        </w:rPr>
      </w:pPr>
      <w:r>
        <w:rPr>
          <w:rFonts w:hint="eastAsia" w:ascii="仿宋_GB2312" w:hAnsi="仿宋" w:eastAsia="仿宋_GB2312"/>
          <w:sz w:val="28"/>
          <w:szCs w:val="28"/>
        </w:rPr>
        <w:t>（3）具有履行合同所必须的设备和专业技术能力；</w:t>
      </w:r>
    </w:p>
    <w:p>
      <w:pPr>
        <w:pStyle w:val="4"/>
        <w:kinsoku/>
        <w:wordWrap/>
        <w:overflowPunct/>
        <w:bidi w:val="0"/>
        <w:spacing w:before="0" w:after="0" w:line="560" w:lineRule="atLeast"/>
        <w:ind w:left="1001" w:leftChars="309" w:hanging="352" w:hangingChars="126"/>
        <w:jc w:val="left"/>
        <w:textAlignment w:val="auto"/>
        <w:rPr>
          <w:rFonts w:ascii="仿宋_GB2312" w:hAnsi="仿宋" w:eastAsia="仿宋_GB2312"/>
          <w:sz w:val="28"/>
          <w:szCs w:val="28"/>
        </w:rPr>
      </w:pPr>
      <w:r>
        <w:rPr>
          <w:rFonts w:hint="eastAsia" w:ascii="仿宋_GB2312" w:hAnsi="仿宋" w:eastAsia="仿宋_GB2312"/>
          <w:sz w:val="28"/>
          <w:szCs w:val="28"/>
        </w:rPr>
        <w:t>（4）具有依法缴纳税收和社会保障资金的良好记录；</w:t>
      </w:r>
    </w:p>
    <w:p>
      <w:pPr>
        <w:pStyle w:val="4"/>
        <w:kinsoku/>
        <w:wordWrap/>
        <w:overflowPunct/>
        <w:bidi w:val="0"/>
        <w:spacing w:before="0" w:after="0" w:line="560" w:lineRule="atLeast"/>
        <w:ind w:left="1001" w:leftChars="309" w:hanging="352" w:hangingChars="126"/>
        <w:jc w:val="left"/>
        <w:textAlignment w:val="auto"/>
        <w:rPr>
          <w:rFonts w:ascii="仿宋_GB2312" w:hAnsi="仿宋" w:eastAsia="仿宋_GB2312"/>
          <w:sz w:val="28"/>
          <w:szCs w:val="28"/>
        </w:rPr>
      </w:pPr>
      <w:r>
        <w:rPr>
          <w:rFonts w:hint="eastAsia" w:ascii="仿宋_GB2312" w:hAnsi="仿宋" w:eastAsia="仿宋_GB2312"/>
          <w:sz w:val="28"/>
          <w:szCs w:val="28"/>
        </w:rPr>
        <w:t>（5）参加本次采购活动前三年内，在经营活动中没有重大违法记录；</w:t>
      </w:r>
    </w:p>
    <w:p>
      <w:pPr>
        <w:pStyle w:val="4"/>
        <w:kinsoku/>
        <w:wordWrap/>
        <w:overflowPunct/>
        <w:bidi w:val="0"/>
        <w:spacing w:before="0" w:after="0" w:line="560" w:lineRule="atLeast"/>
        <w:ind w:left="1001" w:leftChars="309" w:hanging="352" w:hangingChars="126"/>
        <w:jc w:val="left"/>
        <w:textAlignment w:val="auto"/>
        <w:rPr>
          <w:rFonts w:ascii="仿宋_GB2312" w:hAnsi="仿宋_GB2312" w:eastAsia="仿宋_GB2312" w:cs="仿宋_GB2312"/>
          <w:sz w:val="32"/>
          <w:szCs w:val="32"/>
        </w:rPr>
      </w:pPr>
      <w:r>
        <w:rPr>
          <w:rFonts w:hint="eastAsia" w:ascii="仿宋_GB2312" w:hAnsi="仿宋" w:eastAsia="仿宋_GB2312"/>
          <w:sz w:val="28"/>
          <w:szCs w:val="28"/>
        </w:rPr>
        <w:t>（6）法律、行政法规规定的其他条件</w:t>
      </w:r>
      <w:r>
        <w:rPr>
          <w:rFonts w:hint="eastAsia" w:ascii="仿宋_GB2312" w:hAnsi="仿宋_GB2312" w:eastAsia="仿宋_GB2312" w:cs="仿宋_GB2312"/>
          <w:sz w:val="32"/>
          <w:szCs w:val="32"/>
        </w:rPr>
        <w:t>;</w:t>
      </w:r>
    </w:p>
    <w:p>
      <w:pPr>
        <w:pStyle w:val="4"/>
        <w:kinsoku/>
        <w:wordWrap/>
        <w:overflowPunct/>
        <w:bidi w:val="0"/>
        <w:spacing w:before="0" w:after="0" w:line="560" w:lineRule="atLeast"/>
        <w:ind w:left="659" w:leftChars="314" w:firstLine="47" w:firstLineChars="17"/>
        <w:jc w:val="left"/>
        <w:textAlignment w:val="auto"/>
        <w:rPr>
          <w:rFonts w:ascii="仿宋_GB2312" w:hAnsi="仿宋" w:eastAsia="仿宋_GB2312"/>
          <w:sz w:val="28"/>
          <w:szCs w:val="28"/>
        </w:rPr>
      </w:pPr>
      <w:r>
        <w:rPr>
          <w:rFonts w:hint="eastAsia" w:ascii="仿宋_GB2312" w:hAnsi="仿宋" w:eastAsia="仿宋_GB2312"/>
          <w:sz w:val="28"/>
          <w:szCs w:val="28"/>
        </w:rPr>
        <w:t>（7）具备系统集成服务的能力（营业范围中需包含系统集成）；</w:t>
      </w:r>
    </w:p>
    <w:p>
      <w:pPr>
        <w:pStyle w:val="4"/>
        <w:kinsoku/>
        <w:wordWrap/>
        <w:overflowPunct/>
        <w:bidi w:val="0"/>
        <w:spacing w:before="0" w:after="0" w:line="560" w:lineRule="atLeast"/>
        <w:ind w:left="1001" w:leftChars="309" w:hanging="352" w:hangingChars="126"/>
        <w:jc w:val="left"/>
        <w:textAlignment w:val="auto"/>
        <w:rPr>
          <w:rFonts w:ascii="仿宋_GB2312" w:hAnsi="仿宋" w:eastAsia="仿宋_GB2312"/>
          <w:sz w:val="28"/>
          <w:szCs w:val="28"/>
        </w:rPr>
      </w:pPr>
      <w:r>
        <w:rPr>
          <w:rFonts w:hint="eastAsia" w:ascii="仿宋_GB2312" w:hAnsi="仿宋" w:eastAsia="仿宋_GB2312"/>
          <w:sz w:val="28"/>
          <w:szCs w:val="28"/>
        </w:rPr>
        <w:t>（8）在《全国企业信用信息公示系统》中无经营异常名录信息和严重违法失信企业名单（黑名单）信息及产品质量的行政处罚信息（提供查询截图）；</w:t>
      </w:r>
    </w:p>
    <w:p>
      <w:pPr>
        <w:pStyle w:val="4"/>
        <w:kinsoku/>
        <w:wordWrap/>
        <w:overflowPunct/>
        <w:bidi w:val="0"/>
        <w:spacing w:before="0" w:after="0" w:line="560" w:lineRule="atLeast"/>
        <w:ind w:left="1001" w:leftChars="309" w:hanging="352" w:hangingChars="126"/>
        <w:jc w:val="left"/>
        <w:textAlignment w:val="auto"/>
        <w:rPr>
          <w:rFonts w:ascii="仿宋_GB2312" w:hAnsi="仿宋" w:eastAsia="仿宋_GB2312"/>
          <w:sz w:val="28"/>
          <w:szCs w:val="28"/>
        </w:rPr>
      </w:pPr>
      <w:r>
        <w:rPr>
          <w:rFonts w:hint="eastAsia" w:ascii="仿宋_GB2312" w:hAnsi="仿宋" w:eastAsia="仿宋_GB2312"/>
          <w:sz w:val="28"/>
          <w:szCs w:val="28"/>
        </w:rPr>
        <w:t>（9）投标人2018-2020年（以合同签订时间为准）具有不少于2个数据对接项目业绩(提供合同复印件)；</w:t>
      </w:r>
    </w:p>
    <w:p>
      <w:pPr>
        <w:kinsoku/>
        <w:wordWrap/>
        <w:overflowPunct/>
        <w:bidi w:val="0"/>
        <w:spacing w:line="560" w:lineRule="atLeast"/>
        <w:ind w:firstLine="843" w:firstLineChars="300"/>
        <w:jc w:val="left"/>
        <w:textAlignment w:val="auto"/>
        <w:rPr>
          <w:rFonts w:ascii="仿宋_GB2312" w:hAnsi="仿宋" w:eastAsia="仿宋_GB2312"/>
          <w:bCs/>
          <w:sz w:val="28"/>
          <w:szCs w:val="28"/>
        </w:rPr>
      </w:pPr>
      <w:r>
        <w:rPr>
          <w:rFonts w:hint="eastAsia" w:ascii="仿宋_GB2312" w:hAnsi="仿宋" w:eastAsia="仿宋_GB2312"/>
          <w:b/>
          <w:sz w:val="28"/>
          <w:szCs w:val="28"/>
        </w:rPr>
        <w:t>本次采购不接受联合体响应。</w:t>
      </w:r>
    </w:p>
    <w:p>
      <w:pPr>
        <w:kinsoku/>
        <w:wordWrap/>
        <w:overflowPunct/>
        <w:bidi w:val="0"/>
        <w:spacing w:line="560" w:lineRule="atLeast"/>
        <w:ind w:firstLine="562" w:firstLineChars="200"/>
        <w:jc w:val="left"/>
        <w:textAlignment w:val="auto"/>
        <w:rPr>
          <w:rFonts w:ascii="仿宋_GB2312" w:hAnsi="仿宋" w:eastAsia="仿宋_GB2312"/>
          <w:b/>
          <w:sz w:val="28"/>
          <w:szCs w:val="28"/>
        </w:rPr>
      </w:pPr>
      <w:r>
        <w:rPr>
          <w:rFonts w:hint="eastAsia" w:ascii="仿宋_GB2312" w:hAnsi="仿宋" w:eastAsia="仿宋_GB2312"/>
          <w:b/>
          <w:sz w:val="28"/>
          <w:szCs w:val="28"/>
        </w:rPr>
        <w:t>凡不符合以上资格要求的供应商，均不得参加本次竞争性谈判，否则该响应无效。</w:t>
      </w:r>
    </w:p>
    <w:p>
      <w:pPr>
        <w:kinsoku/>
        <w:wordWrap/>
        <w:overflowPunct/>
        <w:bidi w:val="0"/>
        <w:spacing w:line="560" w:lineRule="atLeast"/>
        <w:ind w:firstLine="555"/>
        <w:textAlignment w:val="auto"/>
        <w:rPr>
          <w:rFonts w:ascii="仿宋_GB2312" w:hAnsi="仿宋" w:eastAsia="仿宋_GB2312"/>
          <w:b/>
          <w:bCs/>
          <w:sz w:val="28"/>
          <w:szCs w:val="28"/>
        </w:rPr>
      </w:pPr>
      <w:r>
        <w:rPr>
          <w:rFonts w:hint="eastAsia" w:ascii="仿宋_GB2312" w:hAnsi="仿宋" w:eastAsia="仿宋_GB2312"/>
          <w:sz w:val="28"/>
          <w:szCs w:val="28"/>
        </w:rPr>
        <w:t>（二）采购项目具体要求：</w:t>
      </w:r>
      <w:r>
        <w:rPr>
          <w:rFonts w:hint="eastAsia" w:ascii="仿宋_GB2312" w:hAnsi="仿宋" w:eastAsia="仿宋_GB2312"/>
          <w:b/>
          <w:bCs/>
          <w:sz w:val="28"/>
          <w:szCs w:val="28"/>
        </w:rPr>
        <w:t>详见第三部分服务要求</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（三）其他要求</w:t>
      </w:r>
    </w:p>
    <w:p>
      <w:pPr>
        <w:widowControl/>
        <w:kinsoku/>
        <w:wordWrap/>
        <w:overflowPunct/>
        <w:bidi w:val="0"/>
        <w:spacing w:line="560" w:lineRule="atLeast"/>
        <w:ind w:firstLine="556"/>
        <w:jc w:val="left"/>
        <w:textAlignment w:val="auto"/>
        <w:rPr>
          <w:rFonts w:ascii="仿宋_GB2312" w:hAnsi="仿宋" w:eastAsia="仿宋_GB2312"/>
          <w:color w:val="000000"/>
          <w:sz w:val="28"/>
          <w:szCs w:val="28"/>
        </w:rPr>
      </w:pPr>
      <w:bookmarkStart w:id="7" w:name="_Toc24713"/>
      <w:bookmarkStart w:id="8" w:name="_Toc12356"/>
      <w:r>
        <w:rPr>
          <w:rFonts w:hint="eastAsia" w:ascii="仿宋_GB2312" w:hAnsi="仿宋" w:eastAsia="仿宋_GB2312"/>
          <w:color w:val="000000"/>
          <w:sz w:val="28"/>
          <w:szCs w:val="28"/>
        </w:rPr>
        <w:t>此次报价均为含税价格, 此次报价包含人工费、技术服务费、税费费用等相关所有费用。</w:t>
      </w:r>
    </w:p>
    <w:p>
      <w:pPr>
        <w:pStyle w:val="2"/>
        <w:kinsoku/>
        <w:wordWrap/>
        <w:overflowPunct/>
        <w:bidi w:val="0"/>
        <w:spacing w:line="560" w:lineRule="atLeast"/>
        <w:textAlignment w:val="auto"/>
      </w:pPr>
      <w:r>
        <w:rPr>
          <w:rFonts w:hint="eastAsia"/>
        </w:rPr>
        <w:t>二、</w:t>
      </w:r>
      <w:bookmarkEnd w:id="7"/>
      <w:bookmarkEnd w:id="8"/>
      <w:r>
        <w:rPr>
          <w:rFonts w:hint="eastAsia"/>
        </w:rPr>
        <w:t>竞争性谈判文件</w:t>
      </w:r>
    </w:p>
    <w:p>
      <w:pPr>
        <w:kinsoku/>
        <w:wordWrap/>
        <w:overflowPunct/>
        <w:bidi w:val="0"/>
        <w:spacing w:line="560" w:lineRule="atLeast"/>
        <w:ind w:firstLine="560" w:firstLineChars="200"/>
        <w:textAlignment w:val="auto"/>
        <w:rPr>
          <w:rFonts w:ascii="仿宋_GB2312" w:eastAsia="仿宋_GB2312"/>
          <w:sz w:val="28"/>
          <w:szCs w:val="28"/>
        </w:rPr>
      </w:pPr>
      <w:r>
        <w:rPr>
          <w:rFonts w:hint="eastAsia" w:ascii="仿宋_GB2312" w:eastAsia="仿宋_GB2312"/>
          <w:sz w:val="28"/>
          <w:szCs w:val="28"/>
        </w:rPr>
        <w:t>（一）竞争性谈判文件的澄清</w:t>
      </w:r>
    </w:p>
    <w:p>
      <w:pPr>
        <w:kinsoku/>
        <w:wordWrap/>
        <w:overflowPunct/>
        <w:bidi w:val="0"/>
        <w:spacing w:line="560" w:lineRule="atLeast"/>
        <w:ind w:firstLine="560" w:firstLineChars="200"/>
        <w:textAlignment w:val="auto"/>
        <w:rPr>
          <w:rFonts w:ascii="仿宋_GB2312" w:eastAsia="仿宋_GB2312"/>
          <w:sz w:val="28"/>
          <w:szCs w:val="28"/>
        </w:rPr>
      </w:pPr>
      <w:r>
        <w:rPr>
          <w:rFonts w:hint="eastAsia" w:ascii="仿宋_GB2312" w:eastAsia="仿宋_GB2312"/>
          <w:sz w:val="28"/>
          <w:szCs w:val="28"/>
        </w:rPr>
        <w:t>供应商对竞争性谈判文件如有疑点或未尽事宜要求澄清，或认为有必要进行说明或交流，以电子邮件方式通知采购人，但通知发出时间不得晚于</w:t>
      </w:r>
      <w:r>
        <w:rPr>
          <w:rFonts w:hint="eastAsia" w:ascii="仿宋_GB2312" w:eastAsia="仿宋_GB2312"/>
          <w:color w:val="000000" w:themeColor="text1"/>
          <w:sz w:val="28"/>
          <w:szCs w:val="28"/>
          <w14:textFill>
            <w14:solidFill>
              <w14:schemeClr w14:val="tx1"/>
            </w14:solidFill>
          </w14:textFill>
        </w:rPr>
        <w:t xml:space="preserve">2021年 </w:t>
      </w:r>
      <w:r>
        <w:rPr>
          <w:rFonts w:hint="eastAsia" w:ascii="仿宋_GB2312" w:eastAsia="仿宋_GB2312"/>
          <w:color w:val="000000" w:themeColor="text1"/>
          <w:sz w:val="28"/>
          <w:szCs w:val="28"/>
          <w:lang w:val="en-US" w:eastAsia="zh-CN"/>
          <w14:textFill>
            <w14:solidFill>
              <w14:schemeClr w14:val="tx1"/>
            </w14:solidFill>
          </w14:textFill>
        </w:rPr>
        <w:t>6</w:t>
      </w:r>
      <w:r>
        <w:rPr>
          <w:rFonts w:hint="eastAsia"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日12:00。采购人对所质疑事项在2021年</w:t>
      </w:r>
      <w:r>
        <w:rPr>
          <w:rFonts w:hint="eastAsia" w:ascii="仿宋_GB2312" w:eastAsia="仿宋_GB2312"/>
          <w:color w:val="000000" w:themeColor="text1"/>
          <w:sz w:val="28"/>
          <w:szCs w:val="28"/>
          <w:lang w:val="en-US" w:eastAsia="zh-CN"/>
          <w14:textFill>
            <w14:solidFill>
              <w14:schemeClr w14:val="tx1"/>
            </w14:solidFill>
          </w14:textFill>
        </w:rPr>
        <w:t>6</w:t>
      </w:r>
      <w:r>
        <w:rPr>
          <w:rFonts w:hint="eastAsia"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日下午18:00前统一进行电子邮件答复。如果答疑期内未收到有关疑问</w:t>
      </w:r>
      <w:r>
        <w:rPr>
          <w:rFonts w:hint="eastAsia" w:ascii="仿宋_GB2312" w:eastAsia="仿宋_GB2312"/>
          <w:sz w:val="28"/>
          <w:szCs w:val="28"/>
        </w:rPr>
        <w:t>，视为供应商完全同意竞争性谈判文件所有条款内容，无异议。</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采购人对竞争性谈判文件所作的一切澄清、修改及补充，采用电子邮件发布，是竞争性谈判文件不可分割的部分。当竞争性谈判文件、竞争性谈判文件澄清、修改及补充文件相互矛盾时，以最后发出的澄清、修改及补充文件为准。</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（二）竞争性谈判文件的修改</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在谈判响应文件递交截止时间前的任何时候，采购人有权修改竞争性谈判文件，但必须以书面形式通知所有供应商，并作为竞争性谈判文件的补充部分，对所有供应商具有约束力，供应商在收到上述通知后，应立即向采购人书面回复确认。</w:t>
      </w:r>
      <w:r>
        <w:rPr>
          <w:rFonts w:hint="eastAsia" w:ascii="宋体" w:hAnsi="宋体" w:cs="宋体"/>
          <w:sz w:val="28"/>
          <w:szCs w:val="28"/>
        </w:rPr>
        <w:t>      </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为使供应商有充分时间对竞争性谈判文件修改部分进行研究并修改谈判响应文件，采购人可酌情推迟谈判响应文件递交截止时间和谈判时间，并将此变更书面通知所有供应商，供应商在收到上述通知后，应立即向采购人书面回复确认。</w:t>
      </w:r>
    </w:p>
    <w:p>
      <w:pPr>
        <w:pStyle w:val="2"/>
        <w:kinsoku/>
        <w:wordWrap/>
        <w:overflowPunct/>
        <w:bidi w:val="0"/>
        <w:spacing w:before="0" w:after="0" w:line="560" w:lineRule="atLeast"/>
        <w:textAlignment w:val="auto"/>
      </w:pPr>
      <w:bookmarkStart w:id="9" w:name="_Toc13001"/>
      <w:bookmarkStart w:id="10" w:name="_Toc29837"/>
      <w:r>
        <w:rPr>
          <w:rFonts w:hint="eastAsia"/>
        </w:rPr>
        <w:t>三、谈判响应文件</w:t>
      </w:r>
      <w:bookmarkEnd w:id="9"/>
      <w:bookmarkEnd w:id="10"/>
    </w:p>
    <w:p>
      <w:pPr>
        <w:kinsoku/>
        <w:wordWrap/>
        <w:overflowPunct/>
        <w:bidi w:val="0"/>
        <w:spacing w:line="560" w:lineRule="atLeast"/>
        <w:ind w:firstLine="560" w:firstLineChars="200"/>
        <w:textAlignment w:val="auto"/>
        <w:rPr>
          <w:rFonts w:ascii="仿宋_GB2312" w:eastAsia="仿宋_GB2312"/>
          <w:sz w:val="28"/>
          <w:szCs w:val="28"/>
        </w:rPr>
      </w:pPr>
      <w:r>
        <w:rPr>
          <w:rFonts w:hint="eastAsia" w:ascii="仿宋_GB2312" w:eastAsia="仿宋_GB2312"/>
          <w:sz w:val="28"/>
          <w:szCs w:val="28"/>
        </w:rPr>
        <w:t>响应供应商应认真阅读竞争性谈判文件中所有事项格式、条款和技术规范等。供应商没有按照竞争性谈判文件要求提交全部资料，或者没有对竞争性谈判文件各个方面作出实质性响应，是供应商的风险，并可能导致其响应被拒绝。</w:t>
      </w:r>
    </w:p>
    <w:p>
      <w:pPr>
        <w:kinsoku/>
        <w:wordWrap/>
        <w:overflowPunct/>
        <w:bidi w:val="0"/>
        <w:spacing w:line="560" w:lineRule="atLeast"/>
        <w:ind w:firstLine="560" w:firstLineChars="200"/>
        <w:textAlignment w:val="auto"/>
        <w:rPr>
          <w:rFonts w:eastAsia="仿宋_GB2312"/>
          <w:sz w:val="28"/>
          <w:szCs w:val="28"/>
        </w:rPr>
      </w:pPr>
      <w:r>
        <w:rPr>
          <w:rFonts w:hint="eastAsia" w:ascii="仿宋_GB2312" w:eastAsia="仿宋_GB2312"/>
          <w:sz w:val="28"/>
          <w:szCs w:val="28"/>
        </w:rPr>
        <w:t>供应商应保证所提供文件资料的真实性，所有文件资料必须是针对本次谈判的。如发现供应商提供了虚假文件资料，其响应将被拒绝。</w:t>
      </w:r>
      <w:r>
        <w:rPr>
          <w:rFonts w:hint="eastAsia" w:eastAsia="仿宋_GB2312"/>
          <w:sz w:val="28"/>
          <w:szCs w:val="28"/>
        </w:rPr>
        <w:t> </w:t>
      </w:r>
    </w:p>
    <w:p>
      <w:pPr>
        <w:kinsoku/>
        <w:wordWrap/>
        <w:overflowPunct/>
        <w:bidi w:val="0"/>
        <w:spacing w:line="560" w:lineRule="atLeast"/>
        <w:ind w:firstLine="560" w:firstLineChars="200"/>
        <w:textAlignment w:val="auto"/>
        <w:rPr>
          <w:rFonts w:ascii="仿宋_GB2312" w:hAnsi="仿宋" w:eastAsia="仿宋_GB2312"/>
          <w:b/>
          <w:bCs/>
          <w:sz w:val="28"/>
          <w:szCs w:val="28"/>
        </w:rPr>
      </w:pPr>
      <w:r>
        <w:rPr>
          <w:rFonts w:hint="eastAsia" w:ascii="仿宋_GB2312" w:eastAsia="仿宋_GB2312"/>
          <w:sz w:val="28"/>
          <w:szCs w:val="28"/>
        </w:rPr>
        <w:t>谈判响应文件包括：1.资格证明文件；2.报价文件；3.商务文件；4.技术文件（在递交谈判响应文件时需按以下顺序装订，并在谈判响应文件递交截止前送达竞争性谈判文件中指定地点）。</w:t>
      </w:r>
    </w:p>
    <w:p>
      <w:pPr>
        <w:kinsoku/>
        <w:wordWrap/>
        <w:overflowPunct/>
        <w:bidi w:val="0"/>
        <w:spacing w:line="560" w:lineRule="atLeast"/>
        <w:ind w:firstLine="562" w:firstLineChars="200"/>
        <w:textAlignment w:val="auto"/>
        <w:rPr>
          <w:rFonts w:ascii="仿宋_GB2312" w:hAnsi="仿宋" w:eastAsia="仿宋_GB2312"/>
          <w:b/>
          <w:sz w:val="28"/>
          <w:szCs w:val="28"/>
        </w:rPr>
      </w:pPr>
      <w:r>
        <w:rPr>
          <w:rFonts w:hint="eastAsia" w:ascii="仿宋_GB2312" w:hAnsi="仿宋" w:eastAsia="仿宋_GB2312"/>
          <w:b/>
          <w:sz w:val="28"/>
          <w:szCs w:val="28"/>
        </w:rPr>
        <w:t>谈判响应文件一式</w:t>
      </w:r>
      <w:r>
        <w:rPr>
          <w:rFonts w:hint="eastAsia" w:ascii="仿宋_GB2312" w:hAnsi="仿宋" w:eastAsia="仿宋_GB2312"/>
          <w:b/>
          <w:sz w:val="28"/>
          <w:szCs w:val="28"/>
          <w:lang w:eastAsia="zh-CN"/>
        </w:rPr>
        <w:t>伍</w:t>
      </w:r>
      <w:r>
        <w:rPr>
          <w:rFonts w:hint="eastAsia" w:ascii="仿宋_GB2312" w:hAnsi="仿宋" w:eastAsia="仿宋_GB2312"/>
          <w:b/>
          <w:sz w:val="28"/>
          <w:szCs w:val="28"/>
        </w:rPr>
        <w:t>份，正本一份副本</w:t>
      </w:r>
      <w:r>
        <w:rPr>
          <w:rFonts w:hint="eastAsia" w:ascii="仿宋_GB2312" w:hAnsi="仿宋" w:eastAsia="仿宋_GB2312"/>
          <w:b/>
          <w:sz w:val="28"/>
          <w:szCs w:val="28"/>
          <w:lang w:eastAsia="zh-CN"/>
        </w:rPr>
        <w:t>肆</w:t>
      </w:r>
      <w:r>
        <w:rPr>
          <w:rFonts w:hint="eastAsia" w:ascii="仿宋_GB2312" w:hAnsi="仿宋" w:eastAsia="仿宋_GB2312"/>
          <w:b/>
          <w:sz w:val="28"/>
          <w:szCs w:val="28"/>
        </w:rPr>
        <w:t>份，且在文件封面注明正本和副本，副本可以是正本盖章后的复印件。如果正本和副本有差异，以正本为准。</w:t>
      </w:r>
    </w:p>
    <w:p>
      <w:pPr>
        <w:kinsoku/>
        <w:wordWrap/>
        <w:overflowPunct/>
        <w:bidi w:val="0"/>
        <w:spacing w:line="560" w:lineRule="atLeast"/>
        <w:ind w:firstLine="562" w:firstLineChars="200"/>
        <w:textAlignment w:val="auto"/>
        <w:rPr>
          <w:rFonts w:ascii="仿宋_GB2312" w:hAnsi="仿宋" w:eastAsia="仿宋_GB2312"/>
          <w:b/>
          <w:sz w:val="28"/>
          <w:szCs w:val="28"/>
        </w:rPr>
      </w:pPr>
      <w:r>
        <w:rPr>
          <w:rFonts w:hint="eastAsia" w:ascii="仿宋_GB2312" w:hAnsi="仿宋" w:eastAsia="仿宋_GB2312"/>
          <w:b/>
          <w:sz w:val="28"/>
          <w:szCs w:val="28"/>
        </w:rPr>
        <w:t>（一）资格证明文件</w:t>
      </w:r>
    </w:p>
    <w:p>
      <w:pPr>
        <w:kinsoku/>
        <w:wordWrap/>
        <w:overflowPunct/>
        <w:bidi w:val="0"/>
        <w:spacing w:line="560" w:lineRule="atLeast"/>
        <w:ind w:firstLine="560" w:firstLineChars="200"/>
        <w:textAlignment w:val="auto"/>
        <w:rPr>
          <w:rFonts w:ascii="仿宋_GB2312" w:hAnsi="仿宋" w:eastAsia="仿宋_GB2312"/>
          <w:b/>
          <w:sz w:val="28"/>
          <w:szCs w:val="28"/>
        </w:rPr>
      </w:pPr>
      <w:r>
        <w:rPr>
          <w:rFonts w:hint="eastAsia" w:ascii="仿宋_GB2312" w:hAnsi="仿宋" w:eastAsia="仿宋_GB2312"/>
          <w:sz w:val="28"/>
          <w:szCs w:val="28"/>
        </w:rPr>
        <w:t>1.“资格证明文件”袋封面（格式见第四部分）；</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2.供应商资格证明文件</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营业执照、税务登记证、组织机构代码、资质证书等。如已三证合一，无需提供税务登记证和组织机构代码证</w:t>
      </w:r>
      <w:r>
        <w:rPr>
          <w:rFonts w:hint="eastAsia" w:ascii="仿宋_GB2312" w:hAnsi="仿宋" w:eastAsia="仿宋_GB2312" w:cs="宋体"/>
          <w:kern w:val="0"/>
          <w:sz w:val="28"/>
          <w:szCs w:val="28"/>
        </w:rPr>
        <w:t>；</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3.承诺书（格式见第四部分）；</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4.供应商法定代表人身份证明书（格式见第四部分）；</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5.供应商法定代表人授权书（格式见第四部分）；</w:t>
      </w:r>
    </w:p>
    <w:p>
      <w:pPr>
        <w:kinsoku/>
        <w:wordWrap/>
        <w:overflowPunct/>
        <w:bidi w:val="0"/>
        <w:spacing w:line="560" w:lineRule="atLeast"/>
        <w:ind w:firstLine="537" w:firstLineChars="192"/>
        <w:textAlignment w:val="auto"/>
        <w:rPr>
          <w:rFonts w:ascii="仿宋_GB2312" w:hAnsi="仿宋" w:eastAsia="仿宋_GB2312" w:cs="宋体"/>
          <w:kern w:val="0"/>
          <w:sz w:val="28"/>
          <w:szCs w:val="28"/>
        </w:rPr>
      </w:pPr>
      <w:r>
        <w:rPr>
          <w:rFonts w:hint="eastAsia" w:ascii="仿宋_GB2312" w:hAnsi="仿宋" w:eastAsia="仿宋_GB2312"/>
          <w:sz w:val="28"/>
          <w:szCs w:val="28"/>
        </w:rPr>
        <w:t>供应商为法定代表人参加谈判的，须提供法定代表人的有效身份证明；授权代理人参加谈判的，须出具有效的法定代表人授权书、法定代表人及授权代理人身份证明</w:t>
      </w:r>
      <w:r>
        <w:rPr>
          <w:rFonts w:hint="eastAsia" w:ascii="仿宋_GB2312" w:hAnsi="仿宋" w:eastAsia="仿宋_GB2312" w:cs="宋体"/>
          <w:kern w:val="0"/>
          <w:sz w:val="28"/>
          <w:szCs w:val="28"/>
        </w:rPr>
        <w:t>（格式见第四部分）</w:t>
      </w:r>
      <w:r>
        <w:rPr>
          <w:rFonts w:hint="eastAsia" w:ascii="仿宋_GB2312" w:hAnsi="仿宋" w:eastAsia="仿宋_GB2312"/>
          <w:sz w:val="28"/>
          <w:szCs w:val="28"/>
        </w:rPr>
        <w:t>。</w:t>
      </w:r>
    </w:p>
    <w:p>
      <w:pPr>
        <w:pStyle w:val="24"/>
        <w:tabs>
          <w:tab w:val="left" w:pos="0"/>
        </w:tabs>
        <w:kinsoku/>
        <w:wordWrap/>
        <w:overflowPunct/>
        <w:bidi w:val="0"/>
        <w:snapToGrid w:val="0"/>
        <w:spacing w:line="560" w:lineRule="atLeast"/>
        <w:ind w:firstLine="562" w:firstLineChars="200"/>
        <w:textAlignment w:val="auto"/>
        <w:rPr>
          <w:rFonts w:ascii="仿宋_GB2312" w:hAnsi="仿宋" w:eastAsia="仿宋_GB2312"/>
          <w:b/>
          <w:sz w:val="28"/>
          <w:szCs w:val="28"/>
        </w:rPr>
      </w:pPr>
    </w:p>
    <w:p>
      <w:pPr>
        <w:pStyle w:val="24"/>
        <w:tabs>
          <w:tab w:val="left" w:pos="0"/>
        </w:tabs>
        <w:kinsoku/>
        <w:wordWrap/>
        <w:overflowPunct/>
        <w:bidi w:val="0"/>
        <w:snapToGrid w:val="0"/>
        <w:spacing w:line="560" w:lineRule="atLeast"/>
        <w:ind w:firstLine="562" w:firstLineChars="200"/>
        <w:textAlignment w:val="auto"/>
        <w:rPr>
          <w:rFonts w:ascii="仿宋_GB2312" w:hAnsi="仿宋" w:eastAsia="仿宋_GB2312"/>
          <w:b/>
          <w:sz w:val="28"/>
          <w:szCs w:val="28"/>
        </w:rPr>
      </w:pPr>
      <w:r>
        <w:rPr>
          <w:rFonts w:hint="eastAsia" w:ascii="仿宋_GB2312" w:hAnsi="仿宋" w:eastAsia="仿宋_GB2312"/>
          <w:b/>
          <w:sz w:val="28"/>
          <w:szCs w:val="28"/>
        </w:rPr>
        <w:t>以上所提供的资料须加盖单位公章并按后述格式要求装订成册并密封。</w:t>
      </w:r>
    </w:p>
    <w:p>
      <w:pPr>
        <w:kinsoku/>
        <w:wordWrap/>
        <w:overflowPunct/>
        <w:bidi w:val="0"/>
        <w:spacing w:line="560" w:lineRule="atLeast"/>
        <w:ind w:firstLine="562" w:firstLineChars="200"/>
        <w:textAlignment w:val="auto"/>
        <w:rPr>
          <w:rFonts w:ascii="仿宋_GB2312" w:hAnsi="仿宋" w:eastAsia="仿宋_GB2312"/>
          <w:b/>
          <w:sz w:val="28"/>
          <w:szCs w:val="28"/>
        </w:rPr>
      </w:pPr>
      <w:r>
        <w:rPr>
          <w:rFonts w:hint="eastAsia" w:ascii="仿宋_GB2312" w:hAnsi="仿宋" w:eastAsia="仿宋_GB2312"/>
          <w:b/>
          <w:sz w:val="28"/>
          <w:szCs w:val="28"/>
        </w:rPr>
        <w:t>（二）报价文件</w:t>
      </w:r>
      <w:r>
        <w:rPr>
          <w:rFonts w:hint="eastAsia" w:ascii="仿宋_GB2312" w:hAnsi="仿宋" w:eastAsia="仿宋_GB2312"/>
          <w:sz w:val="28"/>
          <w:szCs w:val="28"/>
        </w:rPr>
        <w:t xml:space="preserve"> </w:t>
      </w:r>
    </w:p>
    <w:p>
      <w:pPr>
        <w:pStyle w:val="24"/>
        <w:tabs>
          <w:tab w:val="left" w:pos="0"/>
        </w:tabs>
        <w:kinsoku/>
        <w:wordWrap/>
        <w:overflowPunct/>
        <w:bidi w:val="0"/>
        <w:snapToGrid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1.“报价文件”袋封面（格式见第四部分）；</w:t>
      </w:r>
    </w:p>
    <w:p>
      <w:pPr>
        <w:pStyle w:val="24"/>
        <w:tabs>
          <w:tab w:val="left" w:pos="0"/>
        </w:tabs>
        <w:kinsoku/>
        <w:wordWrap/>
        <w:overflowPunct/>
        <w:bidi w:val="0"/>
        <w:snapToGrid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 xml:space="preserve">2.报价表（格式见第四部分）。 </w:t>
      </w:r>
    </w:p>
    <w:p>
      <w:pPr>
        <w:pStyle w:val="24"/>
        <w:tabs>
          <w:tab w:val="left" w:pos="0"/>
        </w:tabs>
        <w:kinsoku/>
        <w:wordWrap/>
        <w:overflowPunct/>
        <w:bidi w:val="0"/>
        <w:snapToGrid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报价文件中所写明的报价将作为谈判的首轮报价；</w:t>
      </w:r>
    </w:p>
    <w:p>
      <w:pPr>
        <w:pStyle w:val="24"/>
        <w:tabs>
          <w:tab w:val="left" w:pos="0"/>
        </w:tabs>
        <w:kinsoku/>
        <w:wordWrap/>
        <w:overflowPunct/>
        <w:bidi w:val="0"/>
        <w:snapToGrid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3.供应商报价应包含供应商完成本项目全部工作所应收取的全部费用。如果供应商在成交并签署合同后，在完成本项目的工作中出现的任何遗漏，均由成交供应商免费提供，采购人不再支付任何费用；</w:t>
      </w:r>
    </w:p>
    <w:p>
      <w:pPr>
        <w:kinsoku/>
        <w:wordWrap/>
        <w:overflowPunct/>
        <w:autoSpaceDE w:val="0"/>
        <w:autoSpaceDN w:val="0"/>
        <w:bidi w:val="0"/>
        <w:adjustRightInd w:val="0"/>
        <w:spacing w:line="560" w:lineRule="atLeast"/>
        <w:ind w:firstLine="560"/>
        <w:textAlignment w:val="auto"/>
        <w:rPr>
          <w:rFonts w:ascii="仿宋_GB2312" w:hAnsi="仿宋" w:eastAsia="仿宋_GB2312" w:cs="Courier New"/>
          <w:sz w:val="28"/>
          <w:szCs w:val="28"/>
        </w:rPr>
      </w:pPr>
      <w:r>
        <w:rPr>
          <w:rFonts w:hint="eastAsia" w:ascii="仿宋_GB2312" w:hAnsi="仿宋" w:eastAsia="仿宋_GB2312"/>
          <w:sz w:val="28"/>
          <w:szCs w:val="28"/>
        </w:rPr>
        <w:t>4.</w:t>
      </w:r>
      <w:r>
        <w:rPr>
          <w:rFonts w:hint="eastAsia" w:ascii="仿宋_GB2312" w:hAnsi="仿宋" w:eastAsia="仿宋_GB2312" w:cs="Courier New"/>
          <w:sz w:val="28"/>
          <w:szCs w:val="28"/>
        </w:rPr>
        <w:t>供应商允许第二次报价作为最终报价，如未按要求报价，为无效报价。</w:t>
      </w:r>
    </w:p>
    <w:p>
      <w:pPr>
        <w:kinsoku/>
        <w:wordWrap/>
        <w:overflowPunct/>
        <w:bidi w:val="0"/>
        <w:spacing w:line="560" w:lineRule="atLeast"/>
        <w:ind w:firstLine="562" w:firstLineChars="200"/>
        <w:textAlignment w:val="auto"/>
        <w:rPr>
          <w:rFonts w:ascii="仿宋_GB2312" w:hAnsi="仿宋" w:eastAsia="仿宋_GB2312"/>
          <w:b/>
          <w:sz w:val="28"/>
          <w:szCs w:val="28"/>
        </w:rPr>
      </w:pPr>
      <w:r>
        <w:rPr>
          <w:rFonts w:hint="eastAsia" w:ascii="仿宋_GB2312" w:hAnsi="仿宋" w:eastAsia="仿宋_GB2312"/>
          <w:b/>
          <w:sz w:val="28"/>
          <w:szCs w:val="28"/>
        </w:rPr>
        <w:t>（三）商务文件</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1.供应商企业基本情况（企业规模、财务状况、项目团队等）；</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 xml:space="preserve">2.供应商履约能力证明材料（格式见第四部分）；  </w:t>
      </w:r>
    </w:p>
    <w:p>
      <w:pPr>
        <w:kinsoku/>
        <w:wordWrap/>
        <w:overflowPunct/>
        <w:bidi w:val="0"/>
        <w:spacing w:line="560" w:lineRule="atLeast"/>
        <w:ind w:firstLine="562" w:firstLineChars="200"/>
        <w:textAlignment w:val="auto"/>
        <w:rPr>
          <w:rFonts w:ascii="仿宋_GB2312" w:hAnsi="仿宋" w:eastAsia="仿宋_GB2312"/>
          <w:b/>
          <w:sz w:val="28"/>
          <w:szCs w:val="28"/>
        </w:rPr>
      </w:pPr>
      <w:r>
        <w:rPr>
          <w:rFonts w:hint="eastAsia" w:ascii="仿宋_GB2312" w:hAnsi="仿宋" w:eastAsia="仿宋_GB2312"/>
          <w:b/>
          <w:sz w:val="28"/>
          <w:szCs w:val="28"/>
        </w:rPr>
        <w:t>（四）技术文件</w:t>
      </w:r>
    </w:p>
    <w:p>
      <w:pPr>
        <w:kinsoku/>
        <w:wordWrap/>
        <w:overflowPunct/>
        <w:autoSpaceDE w:val="0"/>
        <w:autoSpaceDN w:val="0"/>
        <w:bidi w:val="0"/>
        <w:adjustRightInd w:val="0"/>
        <w:spacing w:line="560" w:lineRule="atLeast"/>
        <w:ind w:firstLine="560"/>
        <w:textAlignment w:val="auto"/>
        <w:rPr>
          <w:rFonts w:ascii="仿宋_GB2312" w:hAnsi="仿宋" w:eastAsia="仿宋_GB2312" w:cs="Courier New"/>
          <w:sz w:val="28"/>
          <w:szCs w:val="28"/>
          <w:highlight w:val="yellow"/>
        </w:rPr>
      </w:pPr>
      <w:r>
        <w:rPr>
          <w:rFonts w:hint="eastAsia" w:ascii="仿宋_GB2312" w:hAnsi="仿宋" w:eastAsia="仿宋_GB2312"/>
          <w:sz w:val="28"/>
          <w:szCs w:val="28"/>
        </w:rPr>
        <w:t>服务管理方案。</w:t>
      </w:r>
    </w:p>
    <w:p>
      <w:pPr>
        <w:pStyle w:val="2"/>
        <w:kinsoku/>
        <w:wordWrap/>
        <w:overflowPunct/>
        <w:bidi w:val="0"/>
        <w:spacing w:line="560" w:lineRule="atLeast"/>
        <w:textAlignment w:val="auto"/>
      </w:pPr>
      <w:bookmarkStart w:id="11" w:name="_Toc3129"/>
      <w:r>
        <w:rPr>
          <w:rFonts w:hint="eastAsia"/>
        </w:rPr>
        <w:t>四、谈判响应文件的编制</w:t>
      </w:r>
      <w:bookmarkEnd w:id="11"/>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w:t>
      </w:r>
      <w:r>
        <w:rPr>
          <w:rFonts w:hint="eastAsia" w:ascii="仿宋_GB2312" w:eastAsia="仿宋_GB2312"/>
          <w:b/>
          <w:bCs/>
          <w:sz w:val="28"/>
          <w:szCs w:val="28"/>
        </w:rPr>
        <w:t>资格证明文件应单独密封，其余所有文件可装订成册另行密封</w:t>
      </w:r>
      <w:r>
        <w:rPr>
          <w:rFonts w:hint="eastAsia" w:ascii="仿宋_GB2312" w:hAnsi="仿宋" w:eastAsia="仿宋_GB2312"/>
          <w:sz w:val="28"/>
          <w:szCs w:val="28"/>
        </w:rPr>
        <w:t>；</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2.谈判响应文件一律采用A4纸张；</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供应商须逐一注明以下内容并打印后贴到每一个密封袋上：</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（1）文件名称（指此密封袋内所装的文件类型。如为资格证明文件，则注明：资格证明文件，以此类推）；</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（2）项目名称</w:t>
      </w:r>
      <w:r>
        <w:rPr>
          <w:rFonts w:hint="eastAsia" w:ascii="仿宋_GB2312" w:hAnsi="黑体" w:eastAsia="仿宋_GB2312"/>
          <w:sz w:val="28"/>
          <w:szCs w:val="28"/>
        </w:rPr>
        <w:t>；</w:t>
      </w:r>
    </w:p>
    <w:p>
      <w:pPr>
        <w:kinsoku/>
        <w:wordWrap/>
        <w:overflowPunct/>
        <w:bidi w:val="0"/>
        <w:spacing w:line="560" w:lineRule="atLeast"/>
        <w:ind w:firstLine="420"/>
        <w:textAlignment w:val="auto"/>
        <w:rPr>
          <w:rFonts w:ascii="仿宋_GB2312" w:hAnsi="仿宋" w:eastAsia="仿宋_GB2312"/>
          <w:sz w:val="28"/>
          <w:szCs w:val="28"/>
        </w:rPr>
      </w:pPr>
      <w:r>
        <w:rPr>
          <w:rFonts w:hint="eastAsia" w:ascii="仿宋_GB2312" w:hAnsi="仿宋" w:eastAsia="仿宋_GB2312"/>
          <w:sz w:val="28"/>
          <w:szCs w:val="28"/>
        </w:rPr>
        <w:t xml:space="preserve"> （3）“于</w:t>
      </w:r>
      <w:r>
        <w:rPr>
          <w:rFonts w:hint="eastAsia" w:ascii="仿宋_GB2312" w:hAnsi="仿宋" w:eastAsia="仿宋_GB2312"/>
          <w:color w:val="000000" w:themeColor="text1"/>
          <w:sz w:val="28"/>
          <w:szCs w:val="28"/>
          <w:lang w:val="en-US" w:eastAsia="zh-CN"/>
          <w14:textFill>
            <w14:solidFill>
              <w14:schemeClr w14:val="tx1"/>
            </w14:solidFill>
          </w14:textFill>
        </w:rPr>
        <w:t>2021</w:t>
      </w:r>
      <w:r>
        <w:rPr>
          <w:rFonts w:hint="eastAsia" w:ascii="仿宋_GB2312" w:hAnsi="仿宋" w:eastAsia="仿宋_GB2312"/>
          <w:color w:val="000000" w:themeColor="text1"/>
          <w:sz w:val="28"/>
          <w:szCs w:val="28"/>
          <w14:textFill>
            <w14:solidFill>
              <w14:schemeClr w14:val="tx1"/>
            </w14:solidFill>
          </w14:textFill>
        </w:rPr>
        <w:t>年</w:t>
      </w:r>
      <w:r>
        <w:rPr>
          <w:rFonts w:hint="eastAsia" w:ascii="仿宋_GB2312" w:hAnsi="仿宋" w:eastAsia="仿宋_GB2312"/>
          <w:color w:val="000000" w:themeColor="text1"/>
          <w:sz w:val="28"/>
          <w:szCs w:val="28"/>
          <w:lang w:val="en-US" w:eastAsia="zh-CN"/>
          <w14:textFill>
            <w14:solidFill>
              <w14:schemeClr w14:val="tx1"/>
            </w14:solidFill>
          </w14:textFill>
        </w:rPr>
        <w:t>6</w:t>
      </w:r>
      <w:r>
        <w:rPr>
          <w:rFonts w:hint="eastAsia" w:ascii="仿宋_GB2312" w:hAnsi="仿宋" w:eastAsia="仿宋_GB2312"/>
          <w:color w:val="000000" w:themeColor="text1"/>
          <w:sz w:val="28"/>
          <w:szCs w:val="28"/>
          <w14:textFill>
            <w14:solidFill>
              <w14:schemeClr w14:val="tx1"/>
            </w14:solidFill>
          </w14:textFill>
        </w:rPr>
        <w:t>月</w:t>
      </w:r>
      <w:r>
        <w:rPr>
          <w:rFonts w:hint="eastAsia" w:ascii="仿宋_GB2312" w:hAnsi="仿宋" w:eastAsia="仿宋_GB2312"/>
          <w:color w:val="000000" w:themeColor="text1"/>
          <w:sz w:val="28"/>
          <w:szCs w:val="28"/>
          <w:lang w:val="en-US" w:eastAsia="zh-CN"/>
          <w14:textFill>
            <w14:solidFill>
              <w14:schemeClr w14:val="tx1"/>
            </w14:solidFill>
          </w14:textFill>
        </w:rPr>
        <w:t>7</w:t>
      </w:r>
      <w:r>
        <w:rPr>
          <w:rFonts w:hint="eastAsia" w:ascii="仿宋_GB2312" w:hAnsi="仿宋" w:eastAsia="仿宋_GB2312"/>
          <w:color w:val="000000" w:themeColor="text1"/>
          <w:sz w:val="28"/>
          <w:szCs w:val="28"/>
          <w14:textFill>
            <w14:solidFill>
              <w14:schemeClr w14:val="tx1"/>
            </w14:solidFill>
          </w14:textFill>
        </w:rPr>
        <w:t>日</w:t>
      </w:r>
      <w:r>
        <w:rPr>
          <w:rFonts w:hint="eastAsia" w:ascii="仿宋_GB2312" w:hAnsi="仿宋" w:eastAsia="仿宋_GB2312"/>
          <w:color w:val="000000" w:themeColor="text1"/>
          <w:sz w:val="28"/>
          <w:szCs w:val="28"/>
          <w:lang w:val="en-US" w:eastAsia="zh-CN"/>
          <w14:textFill>
            <w14:solidFill>
              <w14:schemeClr w14:val="tx1"/>
            </w14:solidFill>
          </w14:textFill>
        </w:rPr>
        <w:t>15</w:t>
      </w:r>
      <w:r>
        <w:rPr>
          <w:rFonts w:hint="eastAsia" w:ascii="仿宋_GB2312" w:hAnsi="仿宋" w:eastAsia="仿宋_GB2312"/>
          <w:color w:val="000000" w:themeColor="text1"/>
          <w:sz w:val="28"/>
          <w:szCs w:val="28"/>
          <w14:textFill>
            <w14:solidFill>
              <w14:schemeClr w14:val="tx1"/>
            </w14:solidFill>
          </w14:textFill>
        </w:rPr>
        <w:t>时</w:t>
      </w:r>
      <w:r>
        <w:rPr>
          <w:rFonts w:hint="eastAsia" w:ascii="仿宋_GB2312" w:hAnsi="仿宋" w:eastAsia="仿宋_GB2312"/>
          <w:sz w:val="28"/>
          <w:szCs w:val="28"/>
        </w:rPr>
        <w:t>之前（指谈判邀请中规定的谈判日期及时间），不准开启”字样；</w:t>
      </w:r>
    </w:p>
    <w:p>
      <w:pPr>
        <w:kinsoku/>
        <w:wordWrap/>
        <w:overflowPunct/>
        <w:bidi w:val="0"/>
        <w:spacing w:line="560" w:lineRule="atLeast"/>
        <w:ind w:firstLine="420" w:firstLineChars="150"/>
        <w:textAlignment w:val="auto"/>
        <w:rPr>
          <w:rFonts w:ascii="仿宋_GB2312" w:hAnsi="仿宋" w:eastAsia="仿宋_GB2312"/>
          <w:sz w:val="28"/>
          <w:szCs w:val="28"/>
        </w:rPr>
      </w:pPr>
      <w:r>
        <w:rPr>
          <w:rFonts w:hint="eastAsia" w:ascii="仿宋_GB2312" w:hAnsi="仿宋" w:eastAsia="仿宋_GB2312"/>
          <w:sz w:val="28"/>
          <w:szCs w:val="28"/>
        </w:rPr>
        <w:t xml:space="preserve"> （4）供应商名称及地址。</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并在文件袋封口处盖供应商公章。</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3.所有文件须同时递交</w:t>
      </w:r>
      <w:r>
        <w:rPr>
          <w:rFonts w:hint="eastAsia" w:ascii="仿宋_GB2312" w:hAnsi="仿宋" w:eastAsia="仿宋_GB2312" w:cs="宋体"/>
          <w:kern w:val="0"/>
          <w:sz w:val="28"/>
          <w:szCs w:val="28"/>
        </w:rPr>
        <w:t>指定地点</w:t>
      </w:r>
      <w:r>
        <w:rPr>
          <w:rFonts w:hint="eastAsia" w:ascii="仿宋_GB2312" w:hAnsi="仿宋" w:eastAsia="仿宋_GB2312"/>
          <w:sz w:val="28"/>
          <w:szCs w:val="28"/>
        </w:rPr>
        <w:t>，且不得混装。</w:t>
      </w:r>
    </w:p>
    <w:p>
      <w:pPr>
        <w:pStyle w:val="2"/>
        <w:kinsoku/>
        <w:wordWrap/>
        <w:overflowPunct/>
        <w:bidi w:val="0"/>
        <w:spacing w:line="560" w:lineRule="atLeast"/>
        <w:textAlignment w:val="auto"/>
      </w:pPr>
      <w:bookmarkStart w:id="12" w:name="_Toc16124"/>
      <w:r>
        <w:rPr>
          <w:rFonts w:hint="eastAsia"/>
        </w:rPr>
        <w:t>五、谈判响应文件的递交</w:t>
      </w:r>
      <w:bookmarkEnd w:id="12"/>
    </w:p>
    <w:p>
      <w:pPr>
        <w:pStyle w:val="24"/>
        <w:tabs>
          <w:tab w:val="left" w:pos="0"/>
        </w:tabs>
        <w:kinsoku/>
        <w:wordWrap/>
        <w:overflowPunct/>
        <w:bidi w:val="0"/>
        <w:snapToGrid w:val="0"/>
        <w:spacing w:line="560" w:lineRule="atLeast"/>
        <w:ind w:firstLine="560" w:firstLineChars="200"/>
        <w:textAlignment w:val="auto"/>
        <w:rPr>
          <w:rFonts w:ascii="仿宋_GB2312" w:hAnsi="黑体" w:eastAsia="仿宋_GB2312"/>
          <w:sz w:val="28"/>
          <w:szCs w:val="28"/>
        </w:rPr>
      </w:pPr>
      <w:r>
        <w:rPr>
          <w:rFonts w:hint="eastAsia" w:ascii="仿宋_GB2312" w:hAnsi="黑体" w:eastAsia="仿宋_GB2312"/>
          <w:sz w:val="28"/>
          <w:szCs w:val="28"/>
        </w:rPr>
        <w:t>（一）谈判响应文件的递交</w:t>
      </w:r>
    </w:p>
    <w:p>
      <w:pPr>
        <w:pStyle w:val="24"/>
        <w:tabs>
          <w:tab w:val="left" w:pos="0"/>
        </w:tabs>
        <w:kinsoku/>
        <w:wordWrap/>
        <w:overflowPunct/>
        <w:bidi w:val="0"/>
        <w:snapToGrid w:val="0"/>
        <w:spacing w:line="560" w:lineRule="atLeast"/>
        <w:ind w:firstLine="560" w:firstLineChars="200"/>
        <w:textAlignment w:val="auto"/>
        <w:rPr>
          <w:rFonts w:ascii="仿宋_GB2312" w:hAnsi="黑体" w:eastAsia="仿宋_GB2312"/>
          <w:sz w:val="28"/>
          <w:szCs w:val="28"/>
        </w:rPr>
      </w:pPr>
      <w:r>
        <w:rPr>
          <w:rFonts w:hint="eastAsia" w:ascii="仿宋_GB2312" w:hAnsi="黑体" w:eastAsia="仿宋_GB2312"/>
          <w:sz w:val="28"/>
          <w:szCs w:val="28"/>
        </w:rPr>
        <w:t>1.谈判响应文件必须在谈判响应文件递交截止时间前送达到竞争性谈判文件中指定的递交地点；</w:t>
      </w:r>
      <w:r>
        <w:rPr>
          <w:rFonts w:hint="eastAsia" w:hAnsi="宋体" w:eastAsia="仿宋_GB2312" w:cs="宋体"/>
          <w:sz w:val="28"/>
          <w:szCs w:val="28"/>
        </w:rPr>
        <w:t> </w:t>
      </w:r>
    </w:p>
    <w:p>
      <w:pPr>
        <w:pStyle w:val="24"/>
        <w:tabs>
          <w:tab w:val="left" w:pos="0"/>
        </w:tabs>
        <w:kinsoku/>
        <w:wordWrap/>
        <w:overflowPunct/>
        <w:bidi w:val="0"/>
        <w:snapToGrid w:val="0"/>
        <w:spacing w:line="560" w:lineRule="atLeast"/>
        <w:ind w:firstLine="560" w:firstLineChars="200"/>
        <w:textAlignment w:val="auto"/>
        <w:rPr>
          <w:rFonts w:ascii="仿宋_GB2312" w:hAnsi="黑体" w:eastAsia="仿宋_GB2312"/>
          <w:sz w:val="28"/>
          <w:szCs w:val="28"/>
        </w:rPr>
      </w:pPr>
      <w:r>
        <w:rPr>
          <w:rFonts w:hint="eastAsia" w:ascii="仿宋_GB2312" w:hAnsi="黑体" w:eastAsia="仿宋_GB2312"/>
          <w:sz w:val="28"/>
          <w:szCs w:val="28"/>
        </w:rPr>
        <w:t>2.在递交谈判响应文件的同时，须提交法定代表人的授权委托书、授权代表的有效身份证件；</w:t>
      </w:r>
      <w:r>
        <w:rPr>
          <w:rFonts w:hint="eastAsia" w:hAnsi="宋体" w:eastAsia="仿宋_GB2312" w:cs="宋体"/>
          <w:sz w:val="28"/>
          <w:szCs w:val="28"/>
        </w:rPr>
        <w:t> </w:t>
      </w:r>
    </w:p>
    <w:p>
      <w:pPr>
        <w:pStyle w:val="24"/>
        <w:tabs>
          <w:tab w:val="left" w:pos="0"/>
        </w:tabs>
        <w:kinsoku/>
        <w:wordWrap/>
        <w:overflowPunct/>
        <w:bidi w:val="0"/>
        <w:snapToGrid w:val="0"/>
        <w:spacing w:line="560" w:lineRule="atLeast"/>
        <w:ind w:firstLine="560" w:firstLineChars="200"/>
        <w:textAlignment w:val="auto"/>
        <w:rPr>
          <w:rFonts w:ascii="仿宋_GB2312" w:hAnsi="黑体" w:eastAsia="仿宋_GB2312"/>
          <w:sz w:val="28"/>
          <w:szCs w:val="28"/>
        </w:rPr>
      </w:pPr>
      <w:r>
        <w:rPr>
          <w:rFonts w:hint="eastAsia" w:ascii="仿宋_GB2312" w:hAnsi="黑体" w:eastAsia="仿宋_GB2312"/>
          <w:sz w:val="28"/>
          <w:szCs w:val="28"/>
        </w:rPr>
        <w:t>3.采购人如因故推迟谈判响应文件递交截止时间，应以书面形式通知所有供应商。在这种情况下，采购人和供应商的权利和义务将受到新的截止时间的约束。</w:t>
      </w:r>
      <w:r>
        <w:rPr>
          <w:rFonts w:hint="eastAsia" w:hAnsi="宋体" w:eastAsia="仿宋_GB2312" w:cs="宋体"/>
          <w:sz w:val="28"/>
          <w:szCs w:val="28"/>
        </w:rPr>
        <w:t> </w:t>
      </w:r>
    </w:p>
    <w:p>
      <w:pPr>
        <w:pStyle w:val="24"/>
        <w:tabs>
          <w:tab w:val="left" w:pos="0"/>
        </w:tabs>
        <w:kinsoku/>
        <w:wordWrap/>
        <w:overflowPunct/>
        <w:bidi w:val="0"/>
        <w:snapToGrid w:val="0"/>
        <w:spacing w:line="560" w:lineRule="atLeast"/>
        <w:ind w:firstLine="560" w:firstLineChars="200"/>
        <w:textAlignment w:val="auto"/>
        <w:rPr>
          <w:rFonts w:ascii="仿宋_GB2312" w:hAnsi="黑体" w:eastAsia="仿宋_GB2312"/>
          <w:sz w:val="28"/>
          <w:szCs w:val="28"/>
        </w:rPr>
      </w:pPr>
      <w:r>
        <w:rPr>
          <w:rFonts w:hint="eastAsia" w:ascii="仿宋_GB2312" w:hAnsi="黑体" w:eastAsia="仿宋_GB2312"/>
          <w:sz w:val="28"/>
          <w:szCs w:val="28"/>
        </w:rPr>
        <w:t>（二）谈判响应文件的修改和撤回</w:t>
      </w:r>
      <w:r>
        <w:rPr>
          <w:rFonts w:hint="eastAsia" w:hAnsi="宋体" w:eastAsia="仿宋_GB2312" w:cs="宋体"/>
          <w:sz w:val="28"/>
          <w:szCs w:val="28"/>
        </w:rPr>
        <w:t> </w:t>
      </w:r>
    </w:p>
    <w:p>
      <w:pPr>
        <w:pStyle w:val="24"/>
        <w:tabs>
          <w:tab w:val="left" w:pos="0"/>
        </w:tabs>
        <w:kinsoku/>
        <w:wordWrap/>
        <w:overflowPunct/>
        <w:bidi w:val="0"/>
        <w:snapToGrid w:val="0"/>
        <w:spacing w:line="560" w:lineRule="atLeast"/>
        <w:ind w:firstLine="560" w:firstLineChars="200"/>
        <w:textAlignment w:val="auto"/>
        <w:rPr>
          <w:rFonts w:ascii="仿宋_GB2312" w:hAnsi="黑体" w:eastAsia="仿宋_GB2312"/>
          <w:sz w:val="28"/>
          <w:szCs w:val="28"/>
        </w:rPr>
      </w:pPr>
      <w:r>
        <w:rPr>
          <w:rFonts w:hint="eastAsia" w:ascii="仿宋_GB2312" w:hAnsi="黑体" w:eastAsia="仿宋_GB2312"/>
          <w:sz w:val="28"/>
          <w:szCs w:val="28"/>
        </w:rPr>
        <w:t>1.在谈判响应文件递交截止时间前，供应商可以用书面形式提出修改或撤回其谈判响应文件并送达到采购人。</w:t>
      </w:r>
      <w:r>
        <w:rPr>
          <w:rFonts w:hint="eastAsia" w:hAnsi="宋体" w:eastAsia="仿宋_GB2312" w:cs="宋体"/>
          <w:sz w:val="28"/>
          <w:szCs w:val="28"/>
        </w:rPr>
        <w:t> </w:t>
      </w:r>
    </w:p>
    <w:p>
      <w:pPr>
        <w:pStyle w:val="24"/>
        <w:tabs>
          <w:tab w:val="left" w:pos="0"/>
        </w:tabs>
        <w:kinsoku/>
        <w:wordWrap/>
        <w:overflowPunct/>
        <w:bidi w:val="0"/>
        <w:snapToGrid w:val="0"/>
        <w:spacing w:line="560" w:lineRule="atLeast"/>
        <w:ind w:firstLine="560" w:firstLineChars="200"/>
        <w:textAlignment w:val="auto"/>
        <w:rPr>
          <w:rFonts w:ascii="仿宋_GB2312" w:hAnsi="黑体" w:eastAsia="仿宋_GB2312"/>
          <w:sz w:val="28"/>
          <w:szCs w:val="28"/>
        </w:rPr>
      </w:pPr>
      <w:r>
        <w:rPr>
          <w:rFonts w:hint="eastAsia" w:ascii="仿宋_GB2312" w:hAnsi="黑体" w:eastAsia="仿宋_GB2312"/>
          <w:sz w:val="28"/>
          <w:szCs w:val="28"/>
        </w:rPr>
        <w:t>2.供应商修改或撤回谈判响应文件的书面材料，须密封送达到采购人。同时应在封皮上注明“谈判响应文件修改”或“谈判响应文件撤回通知”字样。</w:t>
      </w:r>
      <w:r>
        <w:rPr>
          <w:rFonts w:hint="eastAsia" w:hAnsi="宋体" w:eastAsia="仿宋_GB2312" w:cs="宋体"/>
          <w:sz w:val="28"/>
          <w:szCs w:val="28"/>
        </w:rPr>
        <w:t> </w:t>
      </w:r>
    </w:p>
    <w:p>
      <w:pPr>
        <w:pStyle w:val="24"/>
        <w:tabs>
          <w:tab w:val="left" w:pos="0"/>
        </w:tabs>
        <w:kinsoku/>
        <w:wordWrap/>
        <w:overflowPunct/>
        <w:bidi w:val="0"/>
        <w:snapToGrid w:val="0"/>
        <w:spacing w:line="560" w:lineRule="atLeast"/>
        <w:textAlignment w:val="auto"/>
        <w:rPr>
          <w:rFonts w:ascii="仿宋_GB2312" w:hAnsi="黑体" w:eastAsia="仿宋_GB2312"/>
          <w:sz w:val="28"/>
          <w:szCs w:val="28"/>
        </w:rPr>
      </w:pPr>
      <w:r>
        <w:rPr>
          <w:rFonts w:hint="eastAsia" w:ascii="仿宋_GB2312" w:hAnsi="黑体" w:eastAsia="仿宋_GB2312"/>
          <w:sz w:val="28"/>
          <w:szCs w:val="28"/>
        </w:rPr>
        <w:tab/>
      </w:r>
      <w:r>
        <w:rPr>
          <w:rFonts w:hint="eastAsia" w:ascii="仿宋_GB2312" w:hAnsi="黑体" w:eastAsia="仿宋_GB2312"/>
          <w:sz w:val="28"/>
          <w:szCs w:val="28"/>
        </w:rPr>
        <w:t xml:space="preserve"> 3.若供应商以传真或邮件形式通知采购人撤回报价，随后必须补充有法定代表人或其授权代表签署的正式文件送达到采购人。</w:t>
      </w:r>
      <w:r>
        <w:rPr>
          <w:rFonts w:hint="eastAsia" w:hAnsi="宋体" w:eastAsia="仿宋_GB2312" w:cs="宋体"/>
          <w:sz w:val="28"/>
          <w:szCs w:val="28"/>
        </w:rPr>
        <w:t> </w:t>
      </w:r>
    </w:p>
    <w:p>
      <w:pPr>
        <w:pStyle w:val="24"/>
        <w:tabs>
          <w:tab w:val="left" w:pos="0"/>
        </w:tabs>
        <w:kinsoku/>
        <w:wordWrap/>
        <w:overflowPunct/>
        <w:bidi w:val="0"/>
        <w:snapToGrid w:val="0"/>
        <w:spacing w:line="560" w:lineRule="atLeast"/>
        <w:ind w:firstLine="560" w:firstLineChars="200"/>
        <w:textAlignment w:val="auto"/>
        <w:rPr>
          <w:rFonts w:ascii="仿宋_GB2312" w:hAnsi="黑体" w:eastAsia="仿宋_GB2312"/>
          <w:sz w:val="28"/>
          <w:szCs w:val="28"/>
        </w:rPr>
      </w:pPr>
      <w:r>
        <w:rPr>
          <w:rFonts w:hint="eastAsia" w:ascii="仿宋_GB2312" w:hAnsi="黑体" w:eastAsia="仿宋_GB2312"/>
          <w:sz w:val="28"/>
          <w:szCs w:val="28"/>
        </w:rPr>
        <w:t>4.从谈判响应文件递交截止日期起至报价有效期满这段时间内，供应商不得撤回其谈判响应文件。</w:t>
      </w:r>
      <w:r>
        <w:rPr>
          <w:rFonts w:hint="eastAsia" w:hAnsi="宋体" w:eastAsia="仿宋_GB2312" w:cs="宋体"/>
          <w:sz w:val="28"/>
          <w:szCs w:val="28"/>
        </w:rPr>
        <w:t> </w:t>
      </w:r>
    </w:p>
    <w:p>
      <w:pPr>
        <w:pStyle w:val="24"/>
        <w:tabs>
          <w:tab w:val="left" w:pos="0"/>
        </w:tabs>
        <w:kinsoku/>
        <w:wordWrap/>
        <w:overflowPunct/>
        <w:bidi w:val="0"/>
        <w:snapToGrid w:val="0"/>
        <w:spacing w:line="560" w:lineRule="atLeast"/>
        <w:ind w:firstLine="560" w:firstLineChars="200"/>
        <w:textAlignment w:val="auto"/>
        <w:rPr>
          <w:rFonts w:ascii="仿宋_GB2312" w:hAnsi="黑体" w:eastAsia="仿宋_GB2312"/>
          <w:sz w:val="28"/>
          <w:szCs w:val="28"/>
        </w:rPr>
      </w:pPr>
      <w:r>
        <w:rPr>
          <w:rFonts w:hint="eastAsia" w:ascii="仿宋_GB2312" w:hAnsi="黑体" w:eastAsia="仿宋_GB2312"/>
          <w:sz w:val="28"/>
          <w:szCs w:val="28"/>
        </w:rPr>
        <w:t>（三）发生下列情况之一的谈判响应文件拒绝接收。</w:t>
      </w:r>
      <w:r>
        <w:rPr>
          <w:rFonts w:hint="eastAsia" w:hAnsi="宋体" w:eastAsia="仿宋_GB2312" w:cs="宋体"/>
          <w:sz w:val="28"/>
          <w:szCs w:val="28"/>
        </w:rPr>
        <w:t> </w:t>
      </w:r>
    </w:p>
    <w:p>
      <w:pPr>
        <w:pStyle w:val="24"/>
        <w:tabs>
          <w:tab w:val="left" w:pos="0"/>
        </w:tabs>
        <w:kinsoku/>
        <w:wordWrap/>
        <w:overflowPunct/>
        <w:bidi w:val="0"/>
        <w:snapToGrid w:val="0"/>
        <w:spacing w:line="560" w:lineRule="atLeast"/>
        <w:ind w:firstLine="560" w:firstLineChars="200"/>
        <w:textAlignment w:val="auto"/>
        <w:rPr>
          <w:rFonts w:ascii="仿宋_GB2312" w:hAnsi="黑体" w:eastAsia="仿宋_GB2312"/>
          <w:sz w:val="28"/>
          <w:szCs w:val="28"/>
        </w:rPr>
      </w:pPr>
      <w:r>
        <w:rPr>
          <w:rFonts w:hint="eastAsia" w:ascii="仿宋_GB2312" w:hAnsi="黑体" w:eastAsia="仿宋_GB2312"/>
          <w:sz w:val="28"/>
          <w:szCs w:val="28"/>
        </w:rPr>
        <w:t>1.在谈判响应文件递交截止时间以后送达的谈判响应文件；</w:t>
      </w:r>
      <w:r>
        <w:rPr>
          <w:rFonts w:hint="eastAsia" w:hAnsi="宋体" w:eastAsia="仿宋_GB2312" w:cs="宋体"/>
          <w:sz w:val="28"/>
          <w:szCs w:val="28"/>
        </w:rPr>
        <w:t> </w:t>
      </w:r>
    </w:p>
    <w:p>
      <w:pPr>
        <w:pStyle w:val="24"/>
        <w:tabs>
          <w:tab w:val="left" w:pos="0"/>
        </w:tabs>
        <w:kinsoku/>
        <w:wordWrap/>
        <w:overflowPunct/>
        <w:bidi w:val="0"/>
        <w:snapToGrid w:val="0"/>
        <w:spacing w:line="560" w:lineRule="atLeast"/>
        <w:ind w:firstLine="560" w:firstLineChars="200"/>
        <w:textAlignment w:val="auto"/>
        <w:rPr>
          <w:rFonts w:ascii="仿宋_GB2312" w:hAnsi="黑体" w:eastAsia="仿宋_GB2312"/>
          <w:sz w:val="28"/>
          <w:szCs w:val="28"/>
        </w:rPr>
      </w:pPr>
      <w:r>
        <w:rPr>
          <w:rFonts w:hint="eastAsia" w:ascii="仿宋_GB2312" w:hAnsi="黑体" w:eastAsia="仿宋_GB2312"/>
          <w:sz w:val="28"/>
          <w:szCs w:val="28"/>
        </w:rPr>
        <w:t>2.未按照竞争性谈判文件规定要求密封、签署、盖章的；</w:t>
      </w:r>
      <w:r>
        <w:rPr>
          <w:rFonts w:hint="eastAsia" w:hAnsi="宋体" w:eastAsia="仿宋_GB2312" w:cs="宋体"/>
          <w:sz w:val="28"/>
          <w:szCs w:val="28"/>
        </w:rPr>
        <w:t> </w:t>
      </w:r>
    </w:p>
    <w:p>
      <w:pPr>
        <w:pStyle w:val="24"/>
        <w:tabs>
          <w:tab w:val="left" w:pos="0"/>
        </w:tabs>
        <w:kinsoku/>
        <w:wordWrap/>
        <w:overflowPunct/>
        <w:bidi w:val="0"/>
        <w:snapToGrid w:val="0"/>
        <w:spacing w:line="560" w:lineRule="atLeast"/>
        <w:ind w:firstLine="560" w:firstLineChars="200"/>
        <w:textAlignment w:val="auto"/>
        <w:rPr>
          <w:rFonts w:ascii="仿宋_GB2312" w:hAnsi="黑体" w:eastAsia="仿宋_GB2312"/>
          <w:sz w:val="28"/>
          <w:szCs w:val="28"/>
        </w:rPr>
      </w:pPr>
      <w:r>
        <w:rPr>
          <w:rFonts w:hint="eastAsia" w:ascii="仿宋_GB2312" w:hAnsi="黑体" w:eastAsia="仿宋_GB2312"/>
          <w:sz w:val="28"/>
          <w:szCs w:val="28"/>
        </w:rPr>
        <w:t>3.由于包装不妥在送达途中严重破损或失散的谈判响应文件；</w:t>
      </w:r>
      <w:r>
        <w:rPr>
          <w:rFonts w:hint="eastAsia" w:hAnsi="宋体" w:eastAsia="仿宋_GB2312" w:cs="宋体"/>
          <w:sz w:val="28"/>
          <w:szCs w:val="28"/>
        </w:rPr>
        <w:t> </w:t>
      </w:r>
    </w:p>
    <w:p>
      <w:pPr>
        <w:pStyle w:val="24"/>
        <w:tabs>
          <w:tab w:val="left" w:pos="0"/>
        </w:tabs>
        <w:kinsoku/>
        <w:wordWrap/>
        <w:overflowPunct/>
        <w:bidi w:val="0"/>
        <w:snapToGrid w:val="0"/>
        <w:spacing w:line="560" w:lineRule="atLeast"/>
        <w:ind w:firstLine="560" w:firstLineChars="200"/>
        <w:textAlignment w:val="auto"/>
        <w:rPr>
          <w:rFonts w:ascii="仿宋_GB2312" w:hAnsi="黑体" w:eastAsia="仿宋_GB2312"/>
          <w:sz w:val="28"/>
          <w:szCs w:val="28"/>
        </w:rPr>
      </w:pPr>
      <w:r>
        <w:rPr>
          <w:rFonts w:hint="eastAsia" w:ascii="仿宋_GB2312" w:hAnsi="黑体" w:eastAsia="仿宋_GB2312"/>
          <w:sz w:val="28"/>
          <w:szCs w:val="28"/>
        </w:rPr>
        <w:t>4.以电讯形式送达的谈判响应文件。</w:t>
      </w:r>
    </w:p>
    <w:p>
      <w:pPr>
        <w:pStyle w:val="2"/>
        <w:kinsoku/>
        <w:wordWrap/>
        <w:overflowPunct/>
        <w:bidi w:val="0"/>
        <w:spacing w:line="560" w:lineRule="atLeast"/>
        <w:textAlignment w:val="auto"/>
      </w:pPr>
      <w:bookmarkStart w:id="13" w:name="_Toc6799"/>
      <w:bookmarkStart w:id="14" w:name="_Toc14322"/>
      <w:r>
        <w:rPr>
          <w:rFonts w:hint="eastAsia"/>
        </w:rPr>
        <w:t>六、谈判办法和谈判事宜</w:t>
      </w:r>
      <w:bookmarkEnd w:id="13"/>
      <w:bookmarkEnd w:id="14"/>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采购人依照有关规定，并根据本次谈判项目的特点组织评审小组，评审小组由相关部门共 5 人组成，进行成交候选供应商的确定。各供应商委派代表（或委托人）参加现场谈判。</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（一）谈判办法</w:t>
      </w:r>
    </w:p>
    <w:p>
      <w:pPr>
        <w:kinsoku/>
        <w:wordWrap/>
        <w:overflowPunct/>
        <w:bidi w:val="0"/>
        <w:spacing w:line="560" w:lineRule="atLeast"/>
        <w:ind w:firstLine="560" w:firstLineChars="200"/>
        <w:jc w:val="left"/>
        <w:textAlignment w:val="auto"/>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本次评审办法是综合评审法，并实行最高限价：OPC物联网关最高限价为</w:t>
      </w:r>
      <w:r>
        <w:rPr>
          <w:rFonts w:hint="eastAsia" w:ascii="仿宋_GB2312" w:hAnsi="仿宋" w:eastAsia="仿宋_GB2312"/>
          <w:color w:val="000000" w:themeColor="text1"/>
          <w:sz w:val="28"/>
          <w:szCs w:val="28"/>
          <w:lang w:val="en-US" w:eastAsia="zh-CN"/>
          <w14:textFill>
            <w14:solidFill>
              <w14:schemeClr w14:val="tx1"/>
            </w14:solidFill>
          </w14:textFill>
        </w:rPr>
        <w:t>4053</w:t>
      </w:r>
      <w:r>
        <w:rPr>
          <w:rFonts w:hint="eastAsia" w:ascii="仿宋_GB2312" w:hAnsi="仿宋" w:eastAsia="仿宋_GB2312"/>
          <w:color w:val="000000" w:themeColor="text1"/>
          <w:sz w:val="28"/>
          <w:szCs w:val="28"/>
          <w14:textFill>
            <w14:solidFill>
              <w14:schemeClr w14:val="tx1"/>
            </w14:solidFill>
          </w14:textFill>
        </w:rPr>
        <w:t>元/台，OPC数据对接服务最高限价为</w:t>
      </w:r>
      <w:r>
        <w:rPr>
          <w:rFonts w:hint="eastAsia" w:ascii="仿宋_GB2312" w:hAnsi="仿宋" w:eastAsia="仿宋_GB2312"/>
          <w:color w:val="000000" w:themeColor="text1"/>
          <w:sz w:val="28"/>
          <w:szCs w:val="28"/>
          <w:lang w:val="en-US" w:eastAsia="zh-CN"/>
          <w14:textFill>
            <w14:solidFill>
              <w14:schemeClr w14:val="tx1"/>
            </w14:solidFill>
          </w14:textFill>
        </w:rPr>
        <w:t>40800</w:t>
      </w:r>
      <w:r>
        <w:rPr>
          <w:rFonts w:hint="eastAsia" w:ascii="仿宋_GB2312" w:hAnsi="仿宋" w:eastAsia="仿宋_GB2312"/>
          <w:color w:val="000000" w:themeColor="text1"/>
          <w:sz w:val="28"/>
          <w:szCs w:val="28"/>
          <w14:textFill>
            <w14:solidFill>
              <w14:schemeClr w14:val="tx1"/>
            </w14:solidFill>
          </w14:textFill>
        </w:rPr>
        <w:t>元/厂站，视频数据对接服务最高限价为</w:t>
      </w:r>
      <w:r>
        <w:rPr>
          <w:rFonts w:hint="eastAsia" w:ascii="仿宋_GB2312" w:hAnsi="仿宋" w:eastAsia="仿宋_GB2312"/>
          <w:color w:val="000000" w:themeColor="text1"/>
          <w:sz w:val="28"/>
          <w:szCs w:val="28"/>
          <w:lang w:val="en-US" w:eastAsia="zh-CN"/>
          <w14:textFill>
            <w14:solidFill>
              <w14:schemeClr w14:val="tx1"/>
            </w14:solidFill>
          </w14:textFill>
        </w:rPr>
        <w:t>318</w:t>
      </w:r>
      <w:r>
        <w:rPr>
          <w:rFonts w:hint="eastAsia" w:ascii="仿宋_GB2312" w:hAnsi="仿宋" w:eastAsia="仿宋_GB2312"/>
          <w:color w:val="000000" w:themeColor="text1"/>
          <w:sz w:val="28"/>
          <w:szCs w:val="28"/>
          <w14:textFill>
            <w14:solidFill>
              <w14:schemeClr w14:val="tx1"/>
            </w14:solidFill>
          </w14:textFill>
        </w:rPr>
        <w:t>元/路视频图像。</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评审小组对价格的计算错误按下述原则修正：（1）如果报价文件的大写金额和小写金额不一致的，以大写金额为准进行修正；（2）总价金额与按单价汇总金额不一致的，以总价金额为准进行修正;（3）供应商不同意以上修正，则其报价将被拒绝。</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（二）谈判程序</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1.各供应商签到；</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2.主持人宣布谈判及其注意事项；</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3.监督人员宣读纪律要求；</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4.供应商代表现场检查各响应文件的密封情况并签字；</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5.主持人当众开启资格证明文件并组织评审小组对供应商进行资格审查</w:t>
      </w:r>
      <w:r>
        <w:rPr>
          <w:rFonts w:hint="eastAsia" w:ascii="仿宋_GB2312" w:hAnsi="仿宋" w:eastAsia="仿宋_GB2312"/>
          <w:b/>
          <w:bCs/>
          <w:sz w:val="28"/>
          <w:szCs w:val="28"/>
        </w:rPr>
        <w:t>（不符合资格条件的当场退还该供应商所有文件）</w:t>
      </w:r>
      <w:r>
        <w:rPr>
          <w:rFonts w:hint="eastAsia" w:ascii="仿宋_GB2312" w:hAnsi="仿宋" w:eastAsia="仿宋_GB2312"/>
          <w:sz w:val="28"/>
          <w:szCs w:val="28"/>
        </w:rPr>
        <w:t>；</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6.主持人当众开启各资格审查合格供应商的其余响应文件，公布各供应商报价并登记，供应商对报价签字确认，各供应商可暂时离场；</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7.评审小组与通过资格审查的各供应商分别进行第二轮谈判，供应商进行第二轮现场修正报价及签字确认。</w:t>
      </w:r>
      <w:r>
        <w:rPr>
          <w:rFonts w:hint="eastAsia" w:ascii="仿宋_GB2312" w:hAnsi="仿宋" w:eastAsia="仿宋_GB2312"/>
          <w:b/>
          <w:bCs/>
          <w:sz w:val="28"/>
          <w:szCs w:val="28"/>
        </w:rPr>
        <w:t>谈判的内容为价格、技术内容</w:t>
      </w:r>
      <w:r>
        <w:rPr>
          <w:rFonts w:hint="eastAsia" w:ascii="仿宋_GB2312" w:hAnsi="仿宋" w:eastAsia="仿宋_GB2312"/>
          <w:sz w:val="28"/>
          <w:szCs w:val="28"/>
        </w:rPr>
        <w:t>等（本文件规定作为响应前提条件的除外）。谈判的任何一方在未征得另一方同意的情况下，不得向其他人透露与谈判有关的一切信息。</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8. 评审小组根据第二轮报价及谈判结果进行综合评分，得分最高的供应商即为中选候选人。</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9.评审小组及相关监管部门签字确认谈判结果。</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（三）有以下情形之一者，认定该供应商谈判响应文件无效：</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1.未按竞争性谈判文件要求的递交时间、格式及相关要求递交谈判响应文件的；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2.未实质性响应竞争性谈判文件要求的；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3.明显不符合采购需求的技术规格和标准的；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4.响应文件袋未密封完好的；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5.谈判响应文件未按要求签字和加盖公章的；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6.谈判响应文件有效期不符合竞争性谈判文件要求的；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7.谈判响应文件附有采购人不能接受的条件的；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8.不符合规定资格条件的；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9.法定代表人为同一人或者存在控股、管理关系的不同单位，不得参加同一采购项目响应或者未划分采购项目的同一项目谈判；</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10.联合体应提交联合体协议，否则，为无效响应。联合体各方在同一采购项目中以自己名义单独响应或者参加其他联合体响应的，相关响应均无效。</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11.非委托代理人或法定代表人现场提交报价的。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12.评审小组一致认为报价明显不合理的；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13.以他人名义响应、串通响应、以行贿手段谋取中选或者以其他弄虚作假方式响应的；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14.超出竞争性谈判文件规定最高额限价的；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15.没有按照竞争性谈判文件要求提供保证金的；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16.法律法规规定的其他应作无效响应的。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（四）发生下列情况之一,则本次谈判不成立，采购人将重新组织谈判:</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1.在谈判响应文件递交时间截止时，供应商不足三家；</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2.资格审查合格的不足三家；</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3.按本条第（三）项规定认定后有效响应不足三家的。</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（五）评审小组职责</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1．评审小组对谈判响应文件进行审查、质疑、评估和比较，负责本项目的谈判工作，独立履行下列职责：</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（1）审查谈判响应文件是否符合竞争性谈判文件要求，并作出评价；</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（2）要求供应商对谈判响应文件有关事项作出解释或者澄清；</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（3）受采购人委托按照事先确定的办法推荐中选人；</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（4）向采购人报告非法干预谈判工作的行为。</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2．评审小组完成谈判后，应向采购人提出书面评价报告，评价报告需评审小组全体成员签字。主要内容包括：</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（1）谈判日期和地点；</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（2）供应商名单和评审小组成员名单；</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（3）谈判结果排名；</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（4）谈判记录及说明，包括报价无效供应商名单及原因；</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（5）评审小组推荐的中选候选人。</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3.谈判原则</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w:t>
      </w:r>
      <w:r>
        <w:rPr>
          <w:rFonts w:hint="eastAsia" w:ascii="仿宋_GB2312" w:hAnsi="仿宋" w:eastAsia="仿宋_GB2312"/>
          <w:sz w:val="28"/>
          <w:szCs w:val="28"/>
        </w:rPr>
        <w:t>客观性原则：评审小组将严格按照竞争性谈判文件的要求，对供应商的谈判响应文件进行认真评审；评审小组对谈判响应文件的评审仅依据竞争性谈判文件本身，而不依据竞争性谈判文件以外的任何因素。</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w:t>
      </w:r>
      <w:r>
        <w:rPr>
          <w:rFonts w:hint="eastAsia" w:ascii="仿宋_GB2312" w:hAnsi="仿宋" w:eastAsia="仿宋_GB2312"/>
          <w:sz w:val="28"/>
          <w:szCs w:val="28"/>
        </w:rPr>
        <w:t>统一性原则：评审小组将按照统一的谈判原则和谈判方法，用同一标准进行评审。</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仿宋_GB2312"/>
          <w:sz w:val="28"/>
          <w:szCs w:val="28"/>
        </w:rPr>
        <w:t>独立性原则：谈判工作在评审小组内部独立进行，不受外界任何因素的干扰和影响。评审小组成员对出具的意见和确认的结果承担个人责任。</w:t>
      </w:r>
    </w:p>
    <w:p>
      <w:pPr>
        <w:kinsoku/>
        <w:wordWrap/>
        <w:overflowPunct/>
        <w:bidi w:val="0"/>
        <w:spacing w:line="560" w:lineRule="atLeast"/>
        <w:ind w:firstLine="537" w:firstLineChars="192"/>
        <w:textAlignment w:val="auto"/>
        <w:rPr>
          <w:rFonts w:ascii="仿宋_GB2312" w:hAnsi="仿宋" w:eastAsia="仿宋_GB2312"/>
          <w:sz w:val="28"/>
          <w:szCs w:val="28"/>
        </w:rPr>
      </w:pPr>
      <w:r>
        <w:rPr>
          <w:rFonts w:hint="eastAsia" w:ascii="仿宋_GB2312" w:hAnsi="仿宋" w:eastAsia="仿宋_GB2312"/>
          <w:sz w:val="28"/>
          <w:szCs w:val="28"/>
        </w:rPr>
        <w:t>（4</w:t>
      </w:r>
      <w:r>
        <w:rPr>
          <w:rFonts w:ascii="仿宋_GB2312" w:hAnsi="仿宋" w:eastAsia="仿宋_GB2312"/>
          <w:sz w:val="28"/>
          <w:szCs w:val="28"/>
        </w:rPr>
        <w:t>）</w:t>
      </w:r>
      <w:r>
        <w:rPr>
          <w:rFonts w:hint="eastAsia" w:ascii="仿宋_GB2312" w:hAnsi="仿宋" w:eastAsia="仿宋_GB2312"/>
          <w:sz w:val="28"/>
          <w:szCs w:val="28"/>
        </w:rPr>
        <w:t>保密性原则：采购人应当采取必要的措施，保证谈判在严格保密的情况下进行。</w:t>
      </w:r>
    </w:p>
    <w:p>
      <w:pPr>
        <w:kinsoku/>
        <w:wordWrap/>
        <w:overflowPunct/>
        <w:bidi w:val="0"/>
        <w:spacing w:line="560" w:lineRule="atLeast"/>
        <w:ind w:firstLine="537" w:firstLineChars="192"/>
        <w:textAlignment w:val="auto"/>
        <w:rPr>
          <w:rFonts w:hint="eastAsia" w:ascii="仿宋_GB2312" w:hAnsi="仿宋" w:eastAsia="仿宋_GB2312"/>
          <w:sz w:val="28"/>
          <w:szCs w:val="28"/>
        </w:rPr>
      </w:pPr>
      <w:r>
        <w:rPr>
          <w:rFonts w:hint="eastAsia" w:ascii="仿宋_GB2312" w:hAnsi="仿宋" w:eastAsia="仿宋_GB2312"/>
          <w:sz w:val="28"/>
          <w:szCs w:val="28"/>
        </w:rPr>
        <w:t>（5</w:t>
      </w:r>
      <w:r>
        <w:rPr>
          <w:rFonts w:ascii="仿宋_GB2312" w:hAnsi="仿宋" w:eastAsia="仿宋_GB2312"/>
          <w:sz w:val="28"/>
          <w:szCs w:val="28"/>
        </w:rPr>
        <w:t>）</w:t>
      </w:r>
      <w:r>
        <w:rPr>
          <w:rFonts w:hint="eastAsia" w:ascii="仿宋_GB2312" w:hAnsi="仿宋" w:eastAsia="仿宋_GB2312"/>
          <w:sz w:val="28"/>
          <w:szCs w:val="28"/>
        </w:rPr>
        <w:t>综合性原则：评审小组将综合分析、评审供应商的各项指标，而不以单项指标的优劣评定出中选人。</w:t>
      </w:r>
    </w:p>
    <w:p>
      <w:pPr>
        <w:kinsoku/>
        <w:wordWrap/>
        <w:overflowPunct/>
        <w:bidi w:val="0"/>
        <w:spacing w:line="560" w:lineRule="atLeast"/>
        <w:ind w:firstLine="537" w:firstLineChars="192"/>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6</w:t>
      </w:r>
      <w:r>
        <w:rPr>
          <w:rFonts w:hint="eastAsia" w:ascii="仿宋_GB2312" w:hAnsi="仿宋" w:eastAsia="仿宋_GB2312"/>
          <w:sz w:val="28"/>
          <w:szCs w:val="28"/>
          <w:lang w:eastAsia="zh-CN"/>
        </w:rPr>
        <w:t>）</w:t>
      </w:r>
      <w:r>
        <w:rPr>
          <w:rFonts w:hint="eastAsia" w:ascii="仿宋_GB2312" w:hAnsi="仿宋" w:eastAsia="仿宋_GB2312"/>
          <w:sz w:val="28"/>
          <w:szCs w:val="28"/>
        </w:rPr>
        <w:t>竞争性原则，第二轮报价不得高于第一轮最低价</w:t>
      </w:r>
      <w:r>
        <w:rPr>
          <w:rFonts w:hint="eastAsia" w:ascii="仿宋_GB2312" w:hAnsi="仿宋" w:eastAsia="仿宋_GB2312"/>
          <w:sz w:val="28"/>
          <w:szCs w:val="28"/>
          <w:lang w:eastAsia="zh-CN"/>
        </w:rPr>
        <w:t>。</w:t>
      </w:r>
    </w:p>
    <w:p>
      <w:pPr>
        <w:kinsoku/>
        <w:wordWrap/>
        <w:overflowPunct/>
        <w:bidi w:val="0"/>
        <w:spacing w:line="560" w:lineRule="atLeast"/>
        <w:ind w:firstLine="537" w:firstLineChars="192"/>
        <w:textAlignment w:val="auto"/>
        <w:rPr>
          <w:rFonts w:hint="eastAsia" w:ascii="仿宋" w:hAnsi="仿宋" w:eastAsia="仿宋" w:cs="仿宋"/>
          <w:sz w:val="28"/>
          <w:szCs w:val="28"/>
        </w:rPr>
      </w:pPr>
      <w:r>
        <w:rPr>
          <w:rFonts w:hint="eastAsia" w:ascii="仿宋" w:hAnsi="仿宋" w:eastAsia="仿宋" w:cs="仿宋"/>
          <w:sz w:val="28"/>
          <w:szCs w:val="28"/>
        </w:rPr>
        <w:t>（五）综合评审标准：</w:t>
      </w:r>
    </w:p>
    <w:tbl>
      <w:tblPr>
        <w:tblStyle w:val="4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570"/>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664" w:type="dxa"/>
            <w:gridSpan w:val="2"/>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分值构成</w:t>
            </w:r>
          </w:p>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（总分100分）</w:t>
            </w:r>
          </w:p>
        </w:tc>
        <w:tc>
          <w:tcPr>
            <w:tcW w:w="6355" w:type="dxa"/>
            <w:vAlign w:val="center"/>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技术部分60分；商务部分10分；价格部分30分。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664" w:type="dxa"/>
            <w:gridSpan w:val="2"/>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评标基准价计算方法</w:t>
            </w:r>
          </w:p>
        </w:tc>
        <w:tc>
          <w:tcPr>
            <w:tcW w:w="6355" w:type="dxa"/>
            <w:vAlign w:val="center"/>
          </w:tcPr>
          <w:p>
            <w:pPr>
              <w:tabs>
                <w:tab w:val="left" w:pos="1561"/>
              </w:tabs>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本项目按服务项目清单单价报价，所有通过资格评审、响应性评审的有效投标人报价中，第二轮报价（谈判报价）的最低综合单价为评标基准价。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664" w:type="dxa"/>
            <w:gridSpan w:val="2"/>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评分因素</w:t>
            </w:r>
          </w:p>
        </w:tc>
        <w:tc>
          <w:tcPr>
            <w:tcW w:w="6355" w:type="dxa"/>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094" w:type="dxa"/>
            <w:vMerge w:val="restart"/>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技术部分</w:t>
            </w:r>
          </w:p>
        </w:tc>
        <w:tc>
          <w:tcPr>
            <w:tcW w:w="1570" w:type="dxa"/>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中控数据实施对接方案</w:t>
            </w:r>
          </w:p>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20</w:t>
            </w:r>
            <w:r>
              <w:rPr>
                <w:rFonts w:hint="eastAsia" w:ascii="仿宋" w:hAnsi="仿宋" w:eastAsia="仿宋" w:cs="仿宋"/>
                <w:sz w:val="28"/>
                <w:szCs w:val="28"/>
              </w:rPr>
              <w:t>分）</w:t>
            </w:r>
          </w:p>
        </w:tc>
        <w:tc>
          <w:tcPr>
            <w:tcW w:w="6355" w:type="dxa"/>
            <w:vAlign w:val="center"/>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根据招标人提出的需求，提出对本项目的理解，对中控数据实施对接的重点、难点、要点进行分析，建立数据模型，并提出实际、可行的解决方案和规划方案，以可行性方案书形式提交。</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优：项目理解全面，规划方案很好的得15-20分；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良：项目理解较全面，规划方案较好得10-14分；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中：项目理解、规划方案一般得5-9分；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差：无法提供可行性方案的不得分。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094" w:type="dxa"/>
            <w:vMerge w:val="continue"/>
            <w:vAlign w:val="center"/>
          </w:tcPr>
          <w:p>
            <w:pPr>
              <w:kinsoku/>
              <w:wordWrap/>
              <w:overflowPunct/>
              <w:bidi w:val="0"/>
              <w:spacing w:line="560" w:lineRule="atLeast"/>
              <w:jc w:val="center"/>
              <w:textAlignment w:val="auto"/>
              <w:rPr>
                <w:rFonts w:hint="eastAsia" w:ascii="仿宋" w:hAnsi="仿宋" w:eastAsia="仿宋" w:cs="仿宋"/>
                <w:sz w:val="28"/>
                <w:szCs w:val="28"/>
              </w:rPr>
            </w:pPr>
          </w:p>
        </w:tc>
        <w:tc>
          <w:tcPr>
            <w:tcW w:w="1570" w:type="dxa"/>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项目对接实施计划</w:t>
            </w:r>
          </w:p>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分)</w:t>
            </w:r>
          </w:p>
        </w:tc>
        <w:tc>
          <w:tcPr>
            <w:tcW w:w="6355" w:type="dxa"/>
            <w:vAlign w:val="center"/>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根据各个站点情况提交项目对接实施计划。</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优：规划安排合理，金额适当，保障措施详实可靠，内容具体可行，可操作性强得</w:t>
            </w:r>
            <w:r>
              <w:rPr>
                <w:rFonts w:hint="eastAsia" w:ascii="仿宋" w:hAnsi="仿宋" w:eastAsia="仿宋" w:cs="仿宋"/>
                <w:sz w:val="28"/>
                <w:szCs w:val="28"/>
                <w:lang w:val="en-US" w:eastAsia="zh-CN"/>
              </w:rPr>
              <w:t>7-9</w:t>
            </w:r>
            <w:r>
              <w:rPr>
                <w:rFonts w:hint="eastAsia" w:ascii="仿宋" w:hAnsi="仿宋" w:eastAsia="仿宋" w:cs="仿宋"/>
                <w:sz w:val="28"/>
                <w:szCs w:val="28"/>
              </w:rPr>
              <w:t>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良：规划安排较为合理，保障措施一般，内容具体较为可行，可操作性较强得</w:t>
            </w:r>
            <w:r>
              <w:rPr>
                <w:rFonts w:hint="eastAsia" w:ascii="仿宋" w:hAnsi="仿宋" w:eastAsia="仿宋" w:cs="仿宋"/>
                <w:sz w:val="28"/>
                <w:szCs w:val="28"/>
                <w:lang w:val="en-US" w:eastAsia="zh-CN"/>
              </w:rPr>
              <w:t>4-6</w:t>
            </w:r>
            <w:r>
              <w:rPr>
                <w:rFonts w:hint="eastAsia" w:ascii="仿宋" w:hAnsi="仿宋" w:eastAsia="仿宋" w:cs="仿宋"/>
                <w:sz w:val="28"/>
                <w:szCs w:val="28"/>
              </w:rPr>
              <w:t>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中：规划安排一般，保障措施较差，内容可行性较差，可操作性一般得</w:t>
            </w:r>
            <w:r>
              <w:rPr>
                <w:rFonts w:hint="eastAsia" w:ascii="仿宋" w:hAnsi="仿宋" w:eastAsia="仿宋" w:cs="仿宋"/>
                <w:sz w:val="28"/>
                <w:szCs w:val="28"/>
                <w:lang w:val="en-US" w:eastAsia="zh-CN"/>
              </w:rPr>
              <w:t>1-3</w:t>
            </w:r>
            <w:r>
              <w:rPr>
                <w:rFonts w:hint="eastAsia" w:ascii="仿宋" w:hAnsi="仿宋" w:eastAsia="仿宋" w:cs="仿宋"/>
                <w:sz w:val="28"/>
                <w:szCs w:val="28"/>
              </w:rPr>
              <w:t>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差：无规划的不得分。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094" w:type="dxa"/>
            <w:vMerge w:val="continue"/>
            <w:vAlign w:val="center"/>
          </w:tcPr>
          <w:p>
            <w:pPr>
              <w:kinsoku/>
              <w:wordWrap/>
              <w:overflowPunct/>
              <w:bidi w:val="0"/>
              <w:spacing w:line="560" w:lineRule="atLeast"/>
              <w:jc w:val="center"/>
              <w:textAlignment w:val="auto"/>
              <w:rPr>
                <w:rFonts w:hint="eastAsia" w:ascii="仿宋" w:hAnsi="仿宋" w:eastAsia="仿宋" w:cs="仿宋"/>
                <w:sz w:val="28"/>
                <w:szCs w:val="28"/>
              </w:rPr>
            </w:pPr>
          </w:p>
        </w:tc>
        <w:tc>
          <w:tcPr>
            <w:tcW w:w="1570" w:type="dxa"/>
            <w:vAlign w:val="center"/>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生产运营数据提升建议</w:t>
            </w:r>
          </w:p>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（10分）</w:t>
            </w:r>
          </w:p>
        </w:tc>
        <w:tc>
          <w:tcPr>
            <w:tcW w:w="6355" w:type="dxa"/>
            <w:vAlign w:val="center"/>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跟踪各个站点数据对接情况，提交项目设备数据优化建议</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优：建立设备数据管理模型，对设备维护有实质性改进建议，有助于形成设备管理体系，得8-10分；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良：跟踪设备数据报表，对设备维护有较好的改进意义，内容具体较为可行，得5-7分；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中：提出设备日常维护建议，可操作性一般得1-4分；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差：无建议不得分。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94" w:type="dxa"/>
            <w:vMerge w:val="continue"/>
            <w:vAlign w:val="center"/>
          </w:tcPr>
          <w:p>
            <w:pPr>
              <w:kinsoku/>
              <w:wordWrap/>
              <w:overflowPunct/>
              <w:bidi w:val="0"/>
              <w:spacing w:line="560" w:lineRule="atLeast"/>
              <w:jc w:val="center"/>
              <w:textAlignment w:val="auto"/>
              <w:rPr>
                <w:rFonts w:hint="eastAsia" w:ascii="仿宋" w:hAnsi="仿宋" w:eastAsia="仿宋" w:cs="仿宋"/>
                <w:sz w:val="28"/>
                <w:szCs w:val="28"/>
              </w:rPr>
            </w:pPr>
          </w:p>
        </w:tc>
        <w:tc>
          <w:tcPr>
            <w:tcW w:w="1570" w:type="dxa"/>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设备技术要求 (10分)</w:t>
            </w:r>
          </w:p>
          <w:p>
            <w:pPr>
              <w:kinsoku/>
              <w:wordWrap/>
              <w:overflowPunct/>
              <w:bidi w:val="0"/>
              <w:spacing w:line="560" w:lineRule="atLeast"/>
              <w:jc w:val="center"/>
              <w:textAlignment w:val="auto"/>
              <w:rPr>
                <w:rFonts w:hint="eastAsia" w:ascii="仿宋" w:hAnsi="仿宋" w:eastAsia="仿宋" w:cs="仿宋"/>
                <w:sz w:val="28"/>
                <w:szCs w:val="28"/>
              </w:rPr>
            </w:pPr>
          </w:p>
        </w:tc>
        <w:tc>
          <w:tcPr>
            <w:tcW w:w="6355" w:type="dxa"/>
            <w:vAlign w:val="center"/>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优：承诺免费协助业主搭建私有化物联平台得8-10分；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良：承诺免费提供SAAS物联平台得5-7分；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中：收费提供SAAS物联平台1-4分；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差：无物联平台。不得分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094" w:type="dxa"/>
            <w:vMerge w:val="continue"/>
            <w:vAlign w:val="center"/>
          </w:tcPr>
          <w:p>
            <w:pPr>
              <w:kinsoku/>
              <w:wordWrap/>
              <w:overflowPunct/>
              <w:bidi w:val="0"/>
              <w:spacing w:line="560" w:lineRule="atLeast"/>
              <w:jc w:val="center"/>
              <w:textAlignment w:val="auto"/>
              <w:rPr>
                <w:rFonts w:hint="eastAsia" w:ascii="仿宋" w:hAnsi="仿宋" w:eastAsia="仿宋" w:cs="仿宋"/>
                <w:sz w:val="28"/>
                <w:szCs w:val="28"/>
              </w:rPr>
            </w:pPr>
          </w:p>
        </w:tc>
        <w:tc>
          <w:tcPr>
            <w:tcW w:w="1570" w:type="dxa"/>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视频监控对接方案</w:t>
            </w:r>
          </w:p>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（5分）</w:t>
            </w:r>
          </w:p>
        </w:tc>
        <w:tc>
          <w:tcPr>
            <w:tcW w:w="6355" w:type="dxa"/>
            <w:vAlign w:val="center"/>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根据各个站点视频监控点位情况提交项目监控对接方案</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优：项目理解全面，规划方案很好的得5分；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良：项目理解较全面，规划方案较好得3-4分；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中：项目理解、规划方案一般得1-2分；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差：无法提供可行性方案的不得分。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094" w:type="dxa"/>
            <w:vMerge w:val="continue"/>
            <w:vAlign w:val="center"/>
          </w:tcPr>
          <w:p>
            <w:pPr>
              <w:kinsoku/>
              <w:wordWrap/>
              <w:overflowPunct/>
              <w:bidi w:val="0"/>
              <w:spacing w:line="560" w:lineRule="atLeast"/>
              <w:jc w:val="center"/>
              <w:textAlignment w:val="auto"/>
              <w:rPr>
                <w:rFonts w:hint="eastAsia" w:ascii="仿宋" w:hAnsi="仿宋" w:eastAsia="仿宋" w:cs="仿宋"/>
                <w:sz w:val="28"/>
                <w:szCs w:val="28"/>
              </w:rPr>
            </w:pPr>
          </w:p>
        </w:tc>
        <w:tc>
          <w:tcPr>
            <w:tcW w:w="1570" w:type="dxa"/>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kern w:val="0"/>
                <w:sz w:val="28"/>
                <w:szCs w:val="28"/>
              </w:rPr>
              <w:t>针对本项目质量保障措施及售后服务承诺</w:t>
            </w:r>
            <w:r>
              <w:rPr>
                <w:rFonts w:hint="eastAsia" w:ascii="仿宋" w:hAnsi="仿宋" w:eastAsia="仿宋" w:cs="仿宋"/>
                <w:sz w:val="28"/>
                <w:szCs w:val="28"/>
              </w:rPr>
              <w:t>(5分)</w:t>
            </w:r>
          </w:p>
        </w:tc>
        <w:tc>
          <w:tcPr>
            <w:tcW w:w="6355" w:type="dxa"/>
            <w:vAlign w:val="center"/>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优：质量保证措施具体完善，质保期、维护期服务（包括费用）承诺可靠、具体4-5分；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良：质量保证措施基本满足，质保期、维护期服务（包括费用）承诺对比一般2-3分；</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差：质量保证措施基本满足，质保期、维护期限服务（包括费用）具体承诺不完善0分；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94" w:type="dxa"/>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商务评审(10分)</w:t>
            </w:r>
          </w:p>
        </w:tc>
        <w:tc>
          <w:tcPr>
            <w:tcW w:w="1570" w:type="dxa"/>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类似业绩</w:t>
            </w:r>
          </w:p>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(10分)</w:t>
            </w:r>
          </w:p>
        </w:tc>
        <w:tc>
          <w:tcPr>
            <w:tcW w:w="6355" w:type="dxa"/>
            <w:vAlign w:val="center"/>
          </w:tcPr>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投标人2018-2020年，每具有一个单笔合同金额≧200万元的系统集成及数据实施对接业绩的得5分，最多得10分。(提供相应的合同证明文件)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94" w:type="dxa"/>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投标报价评分标准</w:t>
            </w:r>
          </w:p>
        </w:tc>
        <w:tc>
          <w:tcPr>
            <w:tcW w:w="1570" w:type="dxa"/>
            <w:vAlign w:val="center"/>
          </w:tcPr>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偏差率</w:t>
            </w:r>
          </w:p>
        </w:tc>
        <w:tc>
          <w:tcPr>
            <w:tcW w:w="6355" w:type="dxa"/>
            <w:vAlign w:val="center"/>
          </w:tcPr>
          <w:p>
            <w:pPr>
              <w:kinsoku/>
              <w:wordWrap/>
              <w:overflowPunct/>
              <w:bidi w:val="0"/>
              <w:spacing w:line="560" w:lineRule="atLeast"/>
              <w:textAlignment w:val="auto"/>
              <w:rPr>
                <w:rFonts w:hint="eastAsia" w:ascii="仿宋" w:hAnsi="仿宋" w:eastAsia="仿宋" w:cs="仿宋"/>
                <w:bCs/>
                <w:sz w:val="28"/>
                <w:szCs w:val="28"/>
              </w:rPr>
            </w:pPr>
            <w:r>
              <w:rPr>
                <w:rFonts w:hint="eastAsia" w:ascii="仿宋" w:hAnsi="仿宋" w:eastAsia="仿宋" w:cs="仿宋"/>
                <w:bCs/>
                <w:sz w:val="28"/>
                <w:szCs w:val="28"/>
              </w:rPr>
              <w:t>评标基准价的得满分30分；与评标基准价报价相比，每高0.1%扣2分，扣完为止。</w:t>
            </w:r>
          </w:p>
        </w:tc>
      </w:tr>
    </w:tbl>
    <w:p>
      <w:pPr>
        <w:pStyle w:val="2"/>
        <w:tabs>
          <w:tab w:val="left" w:pos="2940"/>
        </w:tabs>
        <w:kinsoku/>
        <w:wordWrap/>
        <w:overflowPunct/>
        <w:bidi w:val="0"/>
        <w:spacing w:line="560" w:lineRule="atLeast"/>
        <w:textAlignment w:val="auto"/>
        <w:rPr>
          <w:rFonts w:hint="eastAsia" w:ascii="仿宋" w:hAnsi="仿宋" w:eastAsia="仿宋" w:cs="仿宋"/>
          <w:sz w:val="28"/>
          <w:szCs w:val="28"/>
        </w:rPr>
      </w:pPr>
      <w:bookmarkStart w:id="15" w:name="_Toc18609"/>
      <w:r>
        <w:rPr>
          <w:rFonts w:hint="eastAsia" w:ascii="仿宋" w:hAnsi="仿宋" w:eastAsia="仿宋" w:cs="仿宋"/>
          <w:sz w:val="28"/>
          <w:szCs w:val="28"/>
        </w:rPr>
        <w:t>七、中选通知</w:t>
      </w:r>
      <w:bookmarkEnd w:id="15"/>
    </w:p>
    <w:p>
      <w:pPr>
        <w:kinsoku/>
        <w:wordWrap/>
        <w:overflowPunct/>
        <w:bidi w:val="0"/>
        <w:spacing w:line="560" w:lineRule="atLeast"/>
        <w:ind w:firstLine="560" w:firstLineChars="200"/>
        <w:textAlignment w:val="auto"/>
        <w:rPr>
          <w:rFonts w:hint="eastAsia" w:ascii="仿宋" w:hAnsi="仿宋" w:eastAsia="仿宋" w:cs="仿宋"/>
          <w:bCs/>
          <w:sz w:val="28"/>
          <w:szCs w:val="28"/>
        </w:rPr>
      </w:pPr>
      <w:r>
        <w:rPr>
          <w:rFonts w:hint="eastAsia" w:ascii="仿宋" w:hAnsi="仿宋" w:eastAsia="仿宋" w:cs="仿宋"/>
          <w:sz w:val="28"/>
          <w:szCs w:val="28"/>
        </w:rPr>
        <w:t>（一）谈判结</w:t>
      </w:r>
      <w:r>
        <w:rPr>
          <w:rFonts w:hint="eastAsia" w:ascii="仿宋" w:hAnsi="仿宋" w:eastAsia="仿宋" w:cs="仿宋"/>
          <w:bCs/>
          <w:sz w:val="28"/>
          <w:szCs w:val="28"/>
        </w:rPr>
        <w:t>束2个工作日内采购人将以书面形式向中选人发出《中选通知书》，《中选通知书》一经发出即产生法律效力。</w:t>
      </w:r>
    </w:p>
    <w:p>
      <w:pPr>
        <w:kinsoku/>
        <w:wordWrap/>
        <w:overflowPunct/>
        <w:bidi w:val="0"/>
        <w:spacing w:line="5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（二）中选通知书将作为签订合同的依据。</w:t>
      </w:r>
    </w:p>
    <w:p>
      <w:pPr>
        <w:pStyle w:val="2"/>
        <w:tabs>
          <w:tab w:val="left" w:pos="2875"/>
        </w:tabs>
        <w:kinsoku/>
        <w:wordWrap/>
        <w:overflowPunct/>
        <w:bidi w:val="0"/>
        <w:spacing w:line="560" w:lineRule="atLeast"/>
        <w:textAlignment w:val="auto"/>
      </w:pPr>
      <w:bookmarkStart w:id="16" w:name="_Toc1082"/>
      <w:bookmarkStart w:id="17" w:name="_Toc26217"/>
      <w:r>
        <w:rPr>
          <w:rFonts w:hint="eastAsia"/>
        </w:rPr>
        <w:t>八、签订合同</w:t>
      </w:r>
      <w:bookmarkEnd w:id="16"/>
      <w:bookmarkEnd w:id="17"/>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（一）中选人的最终报价为本项目成交价，即为合同价。</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（二）中选人在收到《中选通知书》后15个工作日内按《中选通知书》指定的时间地点与采购人签订合同。</w:t>
      </w:r>
    </w:p>
    <w:p>
      <w:pPr>
        <w:pStyle w:val="27"/>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（三）竞争性谈判文件、中选人的谈判响应文件及其最终承诺等，均为签订合同的依据。</w:t>
      </w:r>
    </w:p>
    <w:p>
      <w:pPr>
        <w:pStyle w:val="27"/>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（四）如中选人未按本文件要求与采购人签订合同的，采购人有权要求中选人承担成交价10%的缔约过失责任；如本次采购设置有响应保证金的，采购人有权予以没收。</w:t>
      </w:r>
    </w:p>
    <w:p>
      <w:pPr>
        <w:pStyle w:val="2"/>
        <w:tabs>
          <w:tab w:val="left" w:pos="2875"/>
        </w:tabs>
        <w:kinsoku/>
        <w:wordWrap/>
        <w:overflowPunct/>
        <w:bidi w:val="0"/>
        <w:spacing w:line="560" w:lineRule="atLeast"/>
        <w:textAlignment w:val="auto"/>
      </w:pPr>
      <w:bookmarkStart w:id="18" w:name="_Toc5333"/>
      <w:r>
        <w:rPr>
          <w:rFonts w:hint="eastAsia"/>
        </w:rPr>
        <w:t>九、价款支付</w:t>
      </w:r>
      <w:bookmarkEnd w:id="18"/>
    </w:p>
    <w:p>
      <w:pPr>
        <w:pStyle w:val="27"/>
        <w:kinsoku/>
        <w:wordWrap/>
        <w:overflowPunct/>
        <w:bidi w:val="0"/>
        <w:spacing w:line="560" w:lineRule="atLeast"/>
        <w:ind w:firstLine="0" w:firstLineChars="0"/>
        <w:textAlignment w:val="auto"/>
        <w:rPr>
          <w:rFonts w:ascii="仿宋_GB2312" w:hAnsi="仿宋" w:eastAsia="仿宋_GB2312"/>
          <w:sz w:val="28"/>
          <w:szCs w:val="28"/>
        </w:rPr>
      </w:pPr>
      <w:r>
        <w:rPr>
          <w:rFonts w:hint="eastAsia" w:ascii="仿宋_GB2312" w:hAnsi="仿宋" w:eastAsia="仿宋_GB2312"/>
          <w:sz w:val="28"/>
          <w:szCs w:val="28"/>
        </w:rPr>
        <w:t xml:space="preserve">    根据合同约定付款。</w:t>
      </w:r>
    </w:p>
    <w:p>
      <w:pPr>
        <w:pStyle w:val="2"/>
        <w:tabs>
          <w:tab w:val="left" w:pos="2875"/>
        </w:tabs>
        <w:kinsoku/>
        <w:wordWrap/>
        <w:overflowPunct/>
        <w:bidi w:val="0"/>
        <w:spacing w:line="560" w:lineRule="atLeast"/>
        <w:textAlignment w:val="auto"/>
        <w:rPr>
          <w:rFonts w:ascii="仿宋_GB2312" w:hAnsi="仿宋" w:eastAsia="仿宋_GB2312"/>
        </w:rPr>
      </w:pPr>
      <w:bookmarkStart w:id="19" w:name="_Toc13065"/>
      <w:r>
        <w:rPr>
          <w:rFonts w:hint="eastAsia"/>
        </w:rPr>
        <w:t>十、保密</w:t>
      </w:r>
      <w:bookmarkEnd w:id="19"/>
    </w:p>
    <w:p>
      <w:pPr>
        <w:pStyle w:val="114"/>
        <w:kinsoku/>
        <w:wordWrap/>
        <w:overflowPunct/>
        <w:bidi w:val="0"/>
        <w:spacing w:line="560" w:lineRule="atLeast"/>
        <w:ind w:firstLine="560"/>
        <w:textAlignment w:val="auto"/>
        <w:rPr>
          <w:rFonts w:cs="MingLiU"/>
          <w:sz w:val="28"/>
          <w:szCs w:val="28"/>
        </w:rPr>
      </w:pPr>
      <w:r>
        <w:rPr>
          <w:rFonts w:hint="eastAsia" w:hAnsi="仿宋"/>
          <w:sz w:val="28"/>
          <w:szCs w:val="28"/>
        </w:rPr>
        <w:t>（一）</w:t>
      </w:r>
      <w:r>
        <w:rPr>
          <w:rFonts w:hint="eastAsia" w:cs="MingLiU"/>
          <w:sz w:val="28"/>
          <w:szCs w:val="28"/>
        </w:rPr>
        <w:t>公布报价以后，有关谈判响应文件的检查、澄清和评比以及与授予合同有关的推荐意见，在宣布成交供应商之前，不得向无关供应商或其他与该工作无关的人员泄露。</w:t>
      </w:r>
    </w:p>
    <w:p>
      <w:pPr>
        <w:pStyle w:val="114"/>
        <w:kinsoku/>
        <w:wordWrap/>
        <w:overflowPunct/>
        <w:bidi w:val="0"/>
        <w:spacing w:line="560" w:lineRule="atLeast"/>
        <w:ind w:firstLine="560"/>
        <w:textAlignment w:val="auto"/>
        <w:rPr>
          <w:rFonts w:cs="MingLiU"/>
          <w:sz w:val="28"/>
          <w:szCs w:val="28"/>
        </w:rPr>
      </w:pPr>
      <w:r>
        <w:rPr>
          <w:rFonts w:hint="eastAsia" w:hAnsi="仿宋"/>
          <w:sz w:val="28"/>
          <w:szCs w:val="28"/>
        </w:rPr>
        <w:t>（二）</w:t>
      </w:r>
      <w:r>
        <w:rPr>
          <w:rFonts w:hint="eastAsia" w:cs="MingLiU"/>
          <w:sz w:val="28"/>
          <w:szCs w:val="28"/>
        </w:rPr>
        <w:t>除谈判响应文件的初步评审的规定外，供应商在公布报价以后到确定中选人的这一期间，不得与采购人接触，联系有关其谈判响应文件的事宜。</w:t>
      </w:r>
    </w:p>
    <w:p>
      <w:pPr>
        <w:pStyle w:val="114"/>
        <w:kinsoku/>
        <w:wordWrap/>
        <w:overflowPunct/>
        <w:bidi w:val="0"/>
        <w:spacing w:line="560" w:lineRule="atLeast"/>
        <w:ind w:firstLine="560"/>
        <w:textAlignment w:val="auto"/>
        <w:rPr>
          <w:rFonts w:cs="MingLiU"/>
          <w:sz w:val="28"/>
          <w:szCs w:val="28"/>
        </w:rPr>
      </w:pPr>
      <w:r>
        <w:rPr>
          <w:rFonts w:hint="eastAsia" w:hAnsi="仿宋"/>
          <w:sz w:val="28"/>
          <w:szCs w:val="28"/>
        </w:rPr>
        <w:t>（三）</w:t>
      </w:r>
      <w:r>
        <w:rPr>
          <w:rFonts w:hint="eastAsia" w:cs="MingLiU"/>
          <w:sz w:val="28"/>
          <w:szCs w:val="28"/>
        </w:rPr>
        <w:t>供应商对采购人在谈判响应文件的评价、比较或确定授予合同的过程中企图施加影响的任何做法，都将导致该供应商的谈判响应文件被拒绝。</w:t>
      </w:r>
    </w:p>
    <w:p>
      <w:pPr>
        <w:kinsoku/>
        <w:wordWrap/>
        <w:overflowPunct/>
        <w:bidi w:val="0"/>
        <w:spacing w:line="560" w:lineRule="atLeast"/>
        <w:ind w:firstLine="560" w:firstLineChars="200"/>
        <w:textAlignment w:val="auto"/>
        <w:rPr>
          <w:rFonts w:ascii="仿宋_GB2312" w:eastAsia="仿宋_GB2312" w:cs="MingLiU"/>
          <w:sz w:val="28"/>
          <w:szCs w:val="28"/>
        </w:rPr>
      </w:pPr>
      <w:r>
        <w:rPr>
          <w:rFonts w:hint="eastAsia" w:ascii="仿宋_GB2312" w:eastAsia="仿宋_GB2312" w:cs="MingLiU"/>
          <w:sz w:val="28"/>
          <w:szCs w:val="28"/>
        </w:rPr>
        <w:t>（四）谈判双方应分别为对方在谈判响应文件和竞争性谈判文件中涉及的商业和技术等秘密保密，违者应对由此造成的后果承担责任。</w:t>
      </w:r>
    </w:p>
    <w:p>
      <w:pPr>
        <w:pStyle w:val="2"/>
        <w:kinsoku/>
        <w:wordWrap/>
        <w:overflowPunct/>
        <w:bidi w:val="0"/>
        <w:spacing w:line="560" w:lineRule="atLeast"/>
        <w:textAlignment w:val="auto"/>
      </w:pPr>
      <w:bookmarkStart w:id="20" w:name="_Toc14556"/>
      <w:bookmarkStart w:id="21" w:name="_Toc23410"/>
      <w:r>
        <w:rPr>
          <w:rFonts w:hint="eastAsia"/>
        </w:rPr>
        <w:t>十一、其它</w:t>
      </w:r>
      <w:bookmarkEnd w:id="20"/>
      <w:bookmarkEnd w:id="21"/>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该竞争性谈判文件的解释权和修订权属采购人。</w:t>
      </w:r>
    </w:p>
    <w:p>
      <w:pPr>
        <w:kinsoku/>
        <w:wordWrap/>
        <w:overflowPunct/>
        <w:bidi w:val="0"/>
        <w:spacing w:line="560" w:lineRule="atLeast"/>
        <w:jc w:val="center"/>
        <w:textAlignment w:val="auto"/>
        <w:rPr>
          <w:rFonts w:ascii="黑体" w:eastAsia="黑体"/>
          <w:sz w:val="36"/>
          <w:szCs w:val="36"/>
        </w:rPr>
      </w:pPr>
    </w:p>
    <w:p>
      <w:pPr>
        <w:pStyle w:val="3"/>
        <w:pageBreakBefore/>
        <w:numPr>
          <w:ilvl w:val="0"/>
          <w:numId w:val="0"/>
        </w:numPr>
        <w:kinsoku/>
        <w:wordWrap/>
        <w:overflowPunct/>
        <w:bidi w:val="0"/>
        <w:spacing w:line="560" w:lineRule="atLeast"/>
        <w:jc w:val="center"/>
        <w:textAlignment w:val="auto"/>
      </w:pPr>
      <w:r>
        <w:rPr>
          <w:rFonts w:hint="eastAsia"/>
        </w:rPr>
        <w:t>第三部分 服务要求</w:t>
      </w:r>
    </w:p>
    <w:bookmarkEnd w:id="3"/>
    <w:bookmarkEnd w:id="4"/>
    <w:p>
      <w:pPr>
        <w:pStyle w:val="139"/>
        <w:numPr>
          <w:ilvl w:val="0"/>
          <w:numId w:val="10"/>
        </w:numPr>
        <w:kinsoku/>
        <w:wordWrap/>
        <w:overflowPunct/>
        <w:bidi w:val="0"/>
        <w:spacing w:line="560" w:lineRule="atLeast"/>
        <w:ind w:firstLineChars="0"/>
        <w:textAlignment w:val="auto"/>
        <w:rPr>
          <w:rFonts w:ascii="仿宋_GB2312" w:hAnsi="仿宋" w:eastAsia="仿宋_GB2312" w:cs="Times New Roman"/>
          <w:snapToGrid/>
          <w:kern w:val="2"/>
          <w:sz w:val="28"/>
          <w:szCs w:val="28"/>
        </w:rPr>
      </w:pPr>
      <w:bookmarkStart w:id="22" w:name="_Toc9436"/>
      <w:r>
        <w:rPr>
          <w:rFonts w:hint="eastAsia" w:ascii="仿宋_GB2312" w:hAnsi="仿宋" w:eastAsia="仿宋_GB2312" w:cs="Times New Roman"/>
          <w:snapToGrid/>
          <w:kern w:val="2"/>
          <w:sz w:val="28"/>
          <w:szCs w:val="28"/>
        </w:rPr>
        <w:t>总体要求</w:t>
      </w:r>
    </w:p>
    <w:p>
      <w:pPr>
        <w:pStyle w:val="139"/>
        <w:numPr>
          <w:ilvl w:val="1"/>
          <w:numId w:val="10"/>
        </w:numPr>
        <w:kinsoku/>
        <w:wordWrap/>
        <w:overflowPunct/>
        <w:bidi w:val="0"/>
        <w:spacing w:line="560" w:lineRule="atLeast"/>
        <w:ind w:left="0" w:firstLine="425" w:firstLineChars="152"/>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生产运营数据的数字孪生建模。将生产阶段的各种指标，通过数字化手段集成在一个紧密协作的生产及预警体系中，按既定的原则，实现五级管控数据推送。</w:t>
      </w:r>
    </w:p>
    <w:p>
      <w:pPr>
        <w:pStyle w:val="139"/>
        <w:numPr>
          <w:ilvl w:val="1"/>
          <w:numId w:val="10"/>
        </w:numPr>
        <w:kinsoku/>
        <w:wordWrap/>
        <w:overflowPunct/>
        <w:bidi w:val="0"/>
        <w:spacing w:line="560" w:lineRule="atLeast"/>
        <w:ind w:left="0" w:firstLine="425" w:firstLineChars="152"/>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建立四川发展国润水务投资有限公司川</w:t>
      </w:r>
      <w:r>
        <w:rPr>
          <w:rFonts w:hint="eastAsia" w:ascii="仿宋_GB2312" w:hAnsi="仿宋" w:eastAsia="仿宋_GB2312" w:cs="Times New Roman"/>
          <w:snapToGrid/>
          <w:kern w:val="2"/>
          <w:sz w:val="28"/>
          <w:szCs w:val="28"/>
          <w:lang w:eastAsia="zh-CN"/>
        </w:rPr>
        <w:t>东</w:t>
      </w:r>
      <w:r>
        <w:rPr>
          <w:rFonts w:hint="eastAsia" w:ascii="仿宋_GB2312" w:hAnsi="仿宋" w:eastAsia="仿宋_GB2312" w:cs="Times New Roman"/>
          <w:snapToGrid/>
          <w:kern w:val="2"/>
          <w:sz w:val="28"/>
          <w:szCs w:val="28"/>
        </w:rPr>
        <w:t>片区生产运营数据数据字典和对接规范。</w:t>
      </w:r>
    </w:p>
    <w:p>
      <w:pPr>
        <w:pStyle w:val="139"/>
        <w:numPr>
          <w:ilvl w:val="1"/>
          <w:numId w:val="10"/>
        </w:numPr>
        <w:kinsoku/>
        <w:wordWrap/>
        <w:overflowPunct/>
        <w:bidi w:val="0"/>
        <w:spacing w:line="560" w:lineRule="atLeast"/>
        <w:ind w:left="0" w:firstLine="425" w:firstLineChars="152"/>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完成第一阶段一厂一站的精细化管理，根据各工艺段仿真模型，实现厂站关键指标数据、设备运营数据和视频数据远程接入物联平台。</w:t>
      </w:r>
    </w:p>
    <w:p>
      <w:pPr>
        <w:pStyle w:val="139"/>
        <w:numPr>
          <w:ilvl w:val="1"/>
          <w:numId w:val="10"/>
        </w:numPr>
        <w:kinsoku/>
        <w:wordWrap/>
        <w:overflowPunct/>
        <w:bidi w:val="0"/>
        <w:spacing w:line="560" w:lineRule="atLeast"/>
        <w:ind w:left="0" w:firstLine="425" w:firstLineChars="152"/>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建立设备数据管理模型。建立关键设备参数监控策略，对设备运维提出实质性改进建议，保障生产运营数据的准确性、有效性和长效性。</w:t>
      </w:r>
    </w:p>
    <w:p>
      <w:pPr>
        <w:pStyle w:val="139"/>
        <w:numPr>
          <w:ilvl w:val="1"/>
          <w:numId w:val="10"/>
        </w:numPr>
        <w:kinsoku/>
        <w:wordWrap/>
        <w:overflowPunct/>
        <w:bidi w:val="0"/>
        <w:spacing w:line="560" w:lineRule="atLeast"/>
        <w:ind w:left="0" w:firstLine="425" w:firstLineChars="152"/>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免费提供物联平台，协助业主完成私有化部署。同时物联平台具备非透传模式，要求全部数据加密，具备赛门铁克安全认证确保数据安全。</w:t>
      </w:r>
    </w:p>
    <w:p>
      <w:pPr>
        <w:pStyle w:val="139"/>
        <w:numPr>
          <w:ilvl w:val="1"/>
          <w:numId w:val="10"/>
        </w:numPr>
        <w:kinsoku/>
        <w:wordWrap/>
        <w:overflowPunct/>
        <w:bidi w:val="0"/>
        <w:spacing w:line="560" w:lineRule="atLeast"/>
        <w:ind w:left="0" w:firstLine="425" w:firstLineChars="152"/>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在厂站视频网络硬盘录像机接通网络及满足支持国标GB28181协议前提下，确保摄像头的监控视频及对应网络/硬盘录像机设备以国标GB28181协议接入国润专属物联网平台。</w:t>
      </w:r>
    </w:p>
    <w:p>
      <w:pPr>
        <w:pStyle w:val="139"/>
        <w:numPr>
          <w:ilvl w:val="1"/>
          <w:numId w:val="10"/>
        </w:numPr>
        <w:kinsoku/>
        <w:wordWrap/>
        <w:overflowPunct/>
        <w:bidi w:val="0"/>
        <w:spacing w:line="560" w:lineRule="atLeast"/>
        <w:ind w:left="0" w:firstLine="425" w:firstLineChars="152"/>
        <w:textAlignment w:val="auto"/>
        <w:rPr>
          <w:rFonts w:ascii="仿宋_GB2312" w:hAnsi="仿宋" w:eastAsia="仿宋_GB2312"/>
          <w:sz w:val="28"/>
          <w:szCs w:val="28"/>
        </w:rPr>
      </w:pPr>
      <w:r>
        <w:rPr>
          <w:rFonts w:hint="eastAsia" w:ascii="仿宋_GB2312" w:hAnsi="仿宋" w:eastAsia="仿宋_GB2312" w:cs="Times New Roman"/>
          <w:snapToGrid/>
          <w:kern w:val="2"/>
          <w:sz w:val="28"/>
          <w:szCs w:val="28"/>
        </w:rPr>
        <w:t>合同签订后</w:t>
      </w:r>
      <w:r>
        <w:rPr>
          <w:rFonts w:ascii="仿宋_GB2312" w:hAnsi="仿宋" w:eastAsia="仿宋_GB2312" w:cs="Times New Roman"/>
          <w:snapToGrid/>
          <w:kern w:val="2"/>
          <w:sz w:val="28"/>
          <w:szCs w:val="28"/>
        </w:rPr>
        <w:t>5</w:t>
      </w:r>
      <w:r>
        <w:rPr>
          <w:rFonts w:hint="eastAsia" w:ascii="仿宋_GB2312" w:hAnsi="仿宋" w:eastAsia="仿宋_GB2312" w:cs="Times New Roman"/>
          <w:snapToGrid/>
          <w:kern w:val="2"/>
          <w:sz w:val="28"/>
          <w:szCs w:val="28"/>
        </w:rPr>
        <w:t>个工作日完成所有厂站的数据对接、清洗和上传。一年内免费接入区域内P</w:t>
      </w:r>
      <w:r>
        <w:rPr>
          <w:rFonts w:ascii="仿宋_GB2312" w:hAnsi="仿宋" w:eastAsia="仿宋_GB2312" w:cs="Times New Roman"/>
          <w:snapToGrid/>
          <w:kern w:val="2"/>
          <w:sz w:val="28"/>
          <w:szCs w:val="28"/>
        </w:rPr>
        <w:t>LC/SCADA</w:t>
      </w:r>
      <w:r>
        <w:rPr>
          <w:rFonts w:hint="eastAsia" w:ascii="仿宋_GB2312" w:hAnsi="仿宋" w:eastAsia="仿宋_GB2312" w:cs="Times New Roman"/>
          <w:snapToGrid/>
          <w:kern w:val="2"/>
          <w:sz w:val="28"/>
          <w:szCs w:val="28"/>
        </w:rPr>
        <w:t>新增设备数据。</w:t>
      </w:r>
    </w:p>
    <w:p>
      <w:pPr>
        <w:pStyle w:val="139"/>
        <w:numPr>
          <w:ilvl w:val="0"/>
          <w:numId w:val="10"/>
        </w:numPr>
        <w:kinsoku/>
        <w:wordWrap/>
        <w:overflowPunct/>
        <w:bidi w:val="0"/>
        <w:spacing w:line="560" w:lineRule="atLeast"/>
        <w:ind w:firstLineChars="0"/>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功能要求</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（1）生产数据实时掌控</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按照数据管理平台的采集范围接入所需传感器变量值，并根据数据管理平台的命名规范在采集数据的同时将现场传感器变量转换为满足规范规定的格式，搭建中间物联平台，通过物联平台调试准确地获取传感器实时数据，将运行阶段的各种实时数据，如供水量、供水压力、频率和工序要求，通过数字化的手段集成在一个紧密协作的生产过程中，并根据既定的规则，自动的完成在不同条件组合下的操作，实现自动化的生产过程；同时记录生产过程中的各类数据，为后续的分析和优化提供依据。实现在系统看到的数据与现场设备和仪表一致。管理和运行人员不去现场也能全面掌控水厂的运行情况，提高工作效率。</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（2）生产数据监控分析</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集成数据智能平台的分析结果，通过采集各种实时运行数据，实现全部生产过程的可视化监控，并且通过经验或者机器学习建立关键设备参数、检验指标的监控策略，对出现违背策略的异常情况进行及时处理和调整，实现稳定并不断优化的生产过程；</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3</w:t>
      </w:r>
      <w:r>
        <w:rPr>
          <w:rFonts w:hint="eastAsia" w:ascii="仿宋_GB2312" w:hAnsi="仿宋" w:eastAsia="仿宋_GB2312"/>
          <w:sz w:val="28"/>
          <w:szCs w:val="28"/>
        </w:rPr>
        <w:t>）实时视频监控及视频回放</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将各厂站的实时视频接入国润专属物联网平台。通过视频数据实时监督、历史查询等功能，实现多项目公司生产过程的可视化管控。视频数据接入。支持实时视频展示，支持视频数据存储备份。支持视频数据回放，视频回放时间长度与厂区本地录像存储设备存储视频时间长度一致。</w:t>
      </w:r>
    </w:p>
    <w:p>
      <w:pPr>
        <w:numPr>
          <w:ilvl w:val="0"/>
          <w:numId w:val="5"/>
        </w:numPr>
        <w:kinsoku/>
        <w:wordWrap/>
        <w:overflowPunct/>
        <w:bidi w:val="0"/>
        <w:spacing w:line="560" w:lineRule="atLeast"/>
        <w:ind w:left="846"/>
        <w:textAlignment w:val="auto"/>
        <w:rPr>
          <w:rFonts w:ascii="仿宋_GB2312" w:hAnsi="仿宋" w:eastAsia="仿宋_GB2312"/>
          <w:sz w:val="28"/>
          <w:szCs w:val="28"/>
        </w:rPr>
      </w:pPr>
      <w:r>
        <w:rPr>
          <w:rFonts w:hint="eastAsia" w:ascii="仿宋_GB2312" w:hAnsi="仿宋" w:eastAsia="仿宋_GB2312"/>
          <w:sz w:val="28"/>
          <w:szCs w:val="28"/>
        </w:rPr>
        <w:t>实时数据展示：根据权限查看选中的厂站实时视频数据；</w:t>
      </w:r>
    </w:p>
    <w:p>
      <w:pPr>
        <w:numPr>
          <w:ilvl w:val="0"/>
          <w:numId w:val="5"/>
        </w:numPr>
        <w:kinsoku/>
        <w:wordWrap/>
        <w:overflowPunct/>
        <w:bidi w:val="0"/>
        <w:spacing w:line="560" w:lineRule="atLeast"/>
        <w:ind w:left="846"/>
        <w:textAlignment w:val="auto"/>
        <w:rPr>
          <w:rFonts w:ascii="仿宋_GB2312" w:hAnsi="仿宋" w:eastAsia="仿宋_GB2312"/>
          <w:sz w:val="28"/>
          <w:szCs w:val="28"/>
        </w:rPr>
      </w:pPr>
      <w:r>
        <w:rPr>
          <w:rFonts w:hint="eastAsia" w:ascii="仿宋_GB2312" w:hAnsi="仿宋" w:eastAsia="仿宋_GB2312"/>
          <w:sz w:val="28"/>
          <w:szCs w:val="28"/>
        </w:rPr>
        <w:t>历史数据回放：根据权限回放选中的厂站内视频数据。</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（4）建立四川发展国润水务投资有限公司川</w:t>
      </w:r>
      <w:r>
        <w:rPr>
          <w:rFonts w:hint="eastAsia" w:ascii="仿宋_GB2312" w:hAnsi="仿宋" w:eastAsia="仿宋_GB2312"/>
          <w:sz w:val="28"/>
          <w:szCs w:val="28"/>
          <w:lang w:eastAsia="zh-CN"/>
        </w:rPr>
        <w:t>东</w:t>
      </w:r>
      <w:r>
        <w:rPr>
          <w:rFonts w:hint="eastAsia" w:ascii="仿宋_GB2312" w:hAnsi="仿宋" w:eastAsia="仿宋_GB2312"/>
          <w:sz w:val="28"/>
          <w:szCs w:val="28"/>
        </w:rPr>
        <w:t>片区生产运营数据数据字典和对接规范。</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建立设备数据管理模型。建立关键设备参数监控策略，对设备运维提出实质性改进建议，保障生产运营数据的准确性、有效性和长效性。</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（5）免费提供物联平台，协助业主完成私有化部署。同时物联平台具备非透传模式，要求全部数据加密，具备赛门铁克安全认证确保数据安全。</w:t>
      </w:r>
    </w:p>
    <w:p>
      <w:pPr>
        <w:pStyle w:val="139"/>
        <w:numPr>
          <w:ilvl w:val="0"/>
          <w:numId w:val="10"/>
        </w:numPr>
        <w:kinsoku/>
        <w:wordWrap/>
        <w:overflowPunct/>
        <w:bidi w:val="0"/>
        <w:spacing w:line="560" w:lineRule="atLeast"/>
        <w:ind w:firstLineChars="0"/>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设备要求</w:t>
      </w:r>
    </w:p>
    <w:p>
      <w:pPr>
        <w:kinsoku/>
        <w:wordWrap/>
        <w:overflowPunct/>
        <w:bidi w:val="0"/>
        <w:spacing w:line="560" w:lineRule="atLeast"/>
        <w:ind w:firstLine="425" w:firstLineChars="152"/>
        <w:textAlignment w:val="auto"/>
        <w:rPr>
          <w:rFonts w:ascii="仿宋_GB2312" w:hAnsi="仿宋" w:eastAsia="仿宋_GB2312"/>
          <w:sz w:val="28"/>
          <w:szCs w:val="28"/>
        </w:rPr>
      </w:pPr>
      <w:r>
        <w:rPr>
          <w:rFonts w:hint="eastAsia" w:ascii="仿宋_GB2312" w:hAnsi="仿宋" w:eastAsia="仿宋_GB2312"/>
          <w:sz w:val="28"/>
          <w:szCs w:val="28"/>
        </w:rPr>
        <w:t>（1）O</w:t>
      </w:r>
      <w:r>
        <w:rPr>
          <w:rFonts w:ascii="仿宋_GB2312" w:hAnsi="仿宋" w:eastAsia="仿宋_GB2312"/>
          <w:sz w:val="28"/>
          <w:szCs w:val="28"/>
        </w:rPr>
        <w:t>PC</w:t>
      </w:r>
      <w:r>
        <w:rPr>
          <w:rFonts w:hint="eastAsia" w:ascii="仿宋_GB2312" w:hAnsi="仿宋" w:eastAsia="仿宋_GB2312"/>
          <w:sz w:val="28"/>
          <w:szCs w:val="28"/>
        </w:rPr>
        <w:t>物联网关设备参数要求：</w:t>
      </w:r>
    </w:p>
    <w:tbl>
      <w:tblPr>
        <w:tblStyle w:val="45"/>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708"/>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2" w:type="dxa"/>
            <w:shd w:val="clear" w:color="auto" w:fill="auto"/>
            <w:vAlign w:val="center"/>
          </w:tcPr>
          <w:p>
            <w:pPr>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序号</w:t>
            </w:r>
          </w:p>
        </w:tc>
        <w:tc>
          <w:tcPr>
            <w:tcW w:w="1708" w:type="dxa"/>
            <w:shd w:val="clear" w:color="auto" w:fill="auto"/>
            <w:vAlign w:val="center"/>
          </w:tcPr>
          <w:p>
            <w:pPr>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设备</w:t>
            </w:r>
          </w:p>
        </w:tc>
        <w:tc>
          <w:tcPr>
            <w:tcW w:w="6453" w:type="dxa"/>
            <w:shd w:val="clear" w:color="auto" w:fill="auto"/>
            <w:vAlign w:val="center"/>
          </w:tcPr>
          <w:p>
            <w:pPr>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42" w:type="dxa"/>
            <w:shd w:val="clear" w:color="auto" w:fill="auto"/>
            <w:vAlign w:val="center"/>
          </w:tcPr>
          <w:p>
            <w:pPr>
              <w:kinsoku/>
              <w:wordWrap/>
              <w:overflowPunct/>
              <w:bidi w:val="0"/>
              <w:spacing w:line="560" w:lineRule="atLeast"/>
              <w:ind w:firstLine="240" w:firstLineChars="100"/>
              <w:jc w:val="center"/>
              <w:textAlignment w:val="auto"/>
              <w:rPr>
                <w:rFonts w:ascii="仿宋_GB2312" w:hAnsi="仿宋" w:eastAsia="仿宋_GB2312"/>
                <w:sz w:val="24"/>
              </w:rPr>
            </w:pPr>
            <w:r>
              <w:rPr>
                <w:rFonts w:hint="eastAsia" w:ascii="仿宋_GB2312" w:hAnsi="仿宋" w:eastAsia="仿宋_GB2312"/>
                <w:sz w:val="24"/>
              </w:rPr>
              <w:t>1</w:t>
            </w:r>
          </w:p>
        </w:tc>
        <w:tc>
          <w:tcPr>
            <w:tcW w:w="1708" w:type="dxa"/>
            <w:shd w:val="clear" w:color="auto" w:fill="auto"/>
            <w:vAlign w:val="center"/>
          </w:tcPr>
          <w:p>
            <w:pPr>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O</w:t>
            </w:r>
            <w:r>
              <w:rPr>
                <w:rFonts w:ascii="仿宋_GB2312" w:hAnsi="仿宋" w:eastAsia="仿宋_GB2312"/>
                <w:sz w:val="24"/>
              </w:rPr>
              <w:t>PC</w:t>
            </w:r>
            <w:r>
              <w:rPr>
                <w:rFonts w:hint="eastAsia" w:ascii="仿宋_GB2312" w:hAnsi="仿宋" w:eastAsia="仿宋_GB2312"/>
                <w:sz w:val="24"/>
              </w:rPr>
              <w:t>物联网关</w:t>
            </w:r>
          </w:p>
        </w:tc>
        <w:tc>
          <w:tcPr>
            <w:tcW w:w="6453" w:type="dxa"/>
            <w:shd w:val="clear" w:color="auto" w:fill="auto"/>
          </w:tcPr>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处理器：工业级高性能嵌入式ARM处理器</w:t>
            </w:r>
          </w:p>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通讯接口1：RS485(2路光电隔离)，最高波特率57600</w:t>
            </w:r>
          </w:p>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通讯接口</w:t>
            </w:r>
            <w:r>
              <w:rPr>
                <w:rFonts w:ascii="仿宋_GB2312" w:hAnsi="仿宋" w:eastAsia="仿宋_GB2312"/>
                <w:sz w:val="24"/>
              </w:rPr>
              <w:t>2</w:t>
            </w:r>
            <w:r>
              <w:rPr>
                <w:rFonts w:hint="eastAsia" w:ascii="仿宋_GB2312" w:hAnsi="仿宋" w:eastAsia="仿宋_GB2312"/>
                <w:sz w:val="24"/>
              </w:rPr>
              <w:t>：R</w:t>
            </w:r>
            <w:r>
              <w:rPr>
                <w:rFonts w:ascii="仿宋_GB2312" w:hAnsi="仿宋" w:eastAsia="仿宋_GB2312"/>
                <w:sz w:val="24"/>
              </w:rPr>
              <w:t>S232</w:t>
            </w:r>
            <w:r>
              <w:rPr>
                <w:rFonts w:hint="eastAsia" w:ascii="仿宋_GB2312" w:hAnsi="仿宋" w:eastAsia="仿宋_GB2312"/>
                <w:sz w:val="24"/>
              </w:rPr>
              <w:t>，最高波特率1</w:t>
            </w:r>
            <w:r>
              <w:rPr>
                <w:rFonts w:ascii="仿宋_GB2312" w:hAnsi="仿宋" w:eastAsia="仿宋_GB2312"/>
                <w:sz w:val="24"/>
              </w:rPr>
              <w:t>15200</w:t>
            </w:r>
          </w:p>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通讯接口</w:t>
            </w:r>
            <w:r>
              <w:rPr>
                <w:rFonts w:ascii="仿宋_GB2312" w:hAnsi="仿宋" w:eastAsia="仿宋_GB2312"/>
                <w:sz w:val="24"/>
              </w:rPr>
              <w:t>3</w:t>
            </w:r>
            <w:r>
              <w:rPr>
                <w:rFonts w:hint="eastAsia" w:ascii="仿宋_GB2312" w:hAnsi="仿宋" w:eastAsia="仿宋_GB2312"/>
                <w:sz w:val="24"/>
              </w:rPr>
              <w:t>：以太网10/100M自适应</w:t>
            </w:r>
          </w:p>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联网方式：网线、W</w:t>
            </w:r>
            <w:r>
              <w:rPr>
                <w:rFonts w:ascii="仿宋_GB2312" w:hAnsi="仿宋" w:eastAsia="仿宋_GB2312"/>
                <w:sz w:val="24"/>
              </w:rPr>
              <w:t>IFI</w:t>
            </w:r>
            <w:r>
              <w:rPr>
                <w:rFonts w:hint="eastAsia" w:ascii="仿宋_GB2312" w:hAnsi="仿宋" w:eastAsia="仿宋_GB2312"/>
                <w:sz w:val="24"/>
              </w:rPr>
              <w:t>、</w:t>
            </w:r>
            <w:r>
              <w:rPr>
                <w:rFonts w:ascii="仿宋_GB2312" w:hAnsi="仿宋" w:eastAsia="仿宋_GB2312"/>
                <w:sz w:val="24"/>
              </w:rPr>
              <w:t>4G</w:t>
            </w:r>
            <w:r>
              <w:rPr>
                <w:rFonts w:hint="eastAsia" w:ascii="仿宋_GB2312" w:hAnsi="仿宋" w:eastAsia="仿宋_GB2312"/>
                <w:sz w:val="24"/>
              </w:rPr>
              <w:t>，有线冗余切换</w:t>
            </w:r>
          </w:p>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数据点数：支持</w:t>
            </w:r>
            <w:r>
              <w:rPr>
                <w:rFonts w:ascii="仿宋_GB2312" w:hAnsi="仿宋" w:eastAsia="仿宋_GB2312"/>
                <w:sz w:val="24"/>
              </w:rPr>
              <w:t>500</w:t>
            </w:r>
            <w:r>
              <w:rPr>
                <w:rFonts w:hint="eastAsia" w:ascii="仿宋_GB2312" w:hAnsi="仿宋" w:eastAsia="仿宋_GB2312"/>
                <w:sz w:val="24"/>
              </w:rPr>
              <w:t xml:space="preserve">及以上点数据 </w:t>
            </w:r>
          </w:p>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支持西门子、A</w:t>
            </w:r>
            <w:r>
              <w:rPr>
                <w:rFonts w:ascii="仿宋_GB2312" w:hAnsi="仿宋" w:eastAsia="仿宋_GB2312"/>
                <w:sz w:val="24"/>
              </w:rPr>
              <w:t>B</w:t>
            </w:r>
            <w:r>
              <w:rPr>
                <w:rFonts w:hint="eastAsia" w:ascii="仿宋_GB2312" w:hAnsi="仿宋" w:eastAsia="仿宋_GB2312"/>
                <w:sz w:val="24"/>
              </w:rPr>
              <w:t>、三菱、欧姆龙、台达、台湾丰炜、台湾永宏等P</w:t>
            </w:r>
            <w:r>
              <w:rPr>
                <w:rFonts w:ascii="仿宋_GB2312" w:hAnsi="仿宋" w:eastAsia="仿宋_GB2312"/>
                <w:sz w:val="24"/>
              </w:rPr>
              <w:t>LC</w:t>
            </w:r>
            <w:r>
              <w:rPr>
                <w:rFonts w:hint="eastAsia" w:ascii="仿宋_GB2312" w:hAnsi="仿宋" w:eastAsia="仿宋_GB2312"/>
                <w:sz w:val="24"/>
              </w:rPr>
              <w:t>协议。</w:t>
            </w:r>
          </w:p>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支持O</w:t>
            </w:r>
            <w:r>
              <w:rPr>
                <w:rFonts w:ascii="仿宋_GB2312" w:hAnsi="仿宋" w:eastAsia="仿宋_GB2312"/>
                <w:sz w:val="24"/>
              </w:rPr>
              <w:t xml:space="preserve">PC DA </w:t>
            </w:r>
            <w:r>
              <w:rPr>
                <w:rFonts w:hint="eastAsia" w:ascii="仿宋_GB2312" w:hAnsi="仿宋" w:eastAsia="仿宋_GB2312"/>
                <w:sz w:val="24"/>
              </w:rPr>
              <w:t>兼容组态软件包括I</w:t>
            </w:r>
            <w:r>
              <w:rPr>
                <w:rFonts w:ascii="仿宋_GB2312" w:hAnsi="仿宋" w:eastAsia="仿宋_GB2312"/>
                <w:sz w:val="24"/>
              </w:rPr>
              <w:t>FIX</w:t>
            </w:r>
            <w:r>
              <w:rPr>
                <w:rFonts w:hint="eastAsia" w:ascii="仿宋_GB2312" w:hAnsi="仿宋" w:eastAsia="仿宋_GB2312"/>
                <w:sz w:val="24"/>
              </w:rPr>
              <w:t>、</w:t>
            </w:r>
            <w:r>
              <w:rPr>
                <w:rFonts w:ascii="仿宋_GB2312" w:hAnsi="仿宋" w:eastAsia="仿宋_GB2312"/>
                <w:sz w:val="24"/>
              </w:rPr>
              <w:t>INTOUCH</w:t>
            </w:r>
            <w:r>
              <w:rPr>
                <w:rFonts w:hint="eastAsia" w:ascii="仿宋_GB2312" w:hAnsi="仿宋" w:eastAsia="仿宋_GB2312"/>
                <w:sz w:val="24"/>
              </w:rPr>
              <w:t>、</w:t>
            </w:r>
            <w:r>
              <w:rPr>
                <w:rFonts w:ascii="仿宋_GB2312" w:hAnsi="仿宋" w:eastAsia="仿宋_GB2312"/>
                <w:sz w:val="24"/>
              </w:rPr>
              <w:t>WINCC</w:t>
            </w:r>
            <w:r>
              <w:rPr>
                <w:rFonts w:hint="eastAsia" w:ascii="仿宋_GB2312" w:hAnsi="仿宋" w:eastAsia="仿宋_GB2312"/>
                <w:sz w:val="24"/>
              </w:rPr>
              <w:t>、组态王、力控、</w:t>
            </w:r>
            <w:r>
              <w:rPr>
                <w:rFonts w:ascii="仿宋_GB2312" w:hAnsi="仿宋" w:eastAsia="仿宋_GB2312"/>
                <w:sz w:val="24"/>
              </w:rPr>
              <w:t>Kepware</w:t>
            </w:r>
            <w:r>
              <w:rPr>
                <w:rFonts w:hint="eastAsia" w:ascii="仿宋_GB2312" w:hAnsi="仿宋" w:eastAsia="仿宋_GB2312"/>
                <w:sz w:val="24"/>
              </w:rPr>
              <w:t>、</w:t>
            </w:r>
            <w:r>
              <w:rPr>
                <w:rFonts w:ascii="仿宋_GB2312" w:hAnsi="仿宋" w:eastAsia="仿宋_GB2312"/>
                <w:sz w:val="24"/>
              </w:rPr>
              <w:t>PCS7</w:t>
            </w:r>
            <w:r>
              <w:rPr>
                <w:rFonts w:hint="eastAsia" w:ascii="仿宋_GB2312" w:hAnsi="仿宋" w:eastAsia="仿宋_GB2312"/>
                <w:sz w:val="24"/>
              </w:rPr>
              <w:t>等。</w:t>
            </w:r>
          </w:p>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设备具备FCC认证和CE认证要求。</w:t>
            </w:r>
          </w:p>
        </w:tc>
      </w:tr>
    </w:tbl>
    <w:p>
      <w:pPr>
        <w:pStyle w:val="139"/>
        <w:kinsoku/>
        <w:wordWrap/>
        <w:overflowPunct/>
        <w:bidi w:val="0"/>
        <w:spacing w:line="560" w:lineRule="atLeast"/>
        <w:ind w:left="555" w:firstLine="0" w:firstLineChars="0"/>
        <w:textAlignment w:val="auto"/>
        <w:rPr>
          <w:rFonts w:ascii="仿宋_GB2312" w:hAnsi="仿宋" w:eastAsia="仿宋_GB2312" w:cs="Times New Roman"/>
          <w:snapToGrid/>
          <w:kern w:val="2"/>
          <w:sz w:val="28"/>
          <w:szCs w:val="28"/>
        </w:rPr>
      </w:pPr>
    </w:p>
    <w:p>
      <w:pPr>
        <w:kinsoku/>
        <w:wordWrap/>
        <w:overflowPunct/>
        <w:bidi w:val="0"/>
        <w:spacing w:line="560" w:lineRule="atLeast"/>
        <w:ind w:firstLine="425" w:firstLineChars="152"/>
        <w:textAlignment w:val="auto"/>
        <w:rPr>
          <w:rFonts w:ascii="仿宋_GB2312" w:hAnsi="仿宋" w:eastAsia="仿宋_GB2312"/>
          <w:sz w:val="24"/>
        </w:rPr>
      </w:pPr>
      <w:r>
        <w:rPr>
          <w:rFonts w:hint="eastAsia" w:ascii="仿宋_GB2312" w:hAnsi="仿宋" w:eastAsia="仿宋_GB2312"/>
          <w:sz w:val="28"/>
          <w:szCs w:val="28"/>
        </w:rPr>
        <w:t>（2）O</w:t>
      </w:r>
      <w:r>
        <w:rPr>
          <w:rFonts w:ascii="仿宋_GB2312" w:hAnsi="仿宋" w:eastAsia="仿宋_GB2312"/>
          <w:sz w:val="28"/>
          <w:szCs w:val="28"/>
        </w:rPr>
        <w:t>PC</w:t>
      </w:r>
      <w:r>
        <w:rPr>
          <w:rFonts w:hint="eastAsia" w:ascii="仿宋_GB2312" w:hAnsi="仿宋" w:eastAsia="仿宋_GB2312"/>
          <w:sz w:val="28"/>
          <w:szCs w:val="28"/>
        </w:rPr>
        <w:t>数据对接服务要求：</w:t>
      </w:r>
    </w:p>
    <w:p>
      <w:pPr>
        <w:kinsoku/>
        <w:wordWrap/>
        <w:overflowPunct/>
        <w:bidi w:val="0"/>
        <w:spacing w:line="560" w:lineRule="atLeast"/>
        <w:jc w:val="center"/>
        <w:textAlignment w:val="auto"/>
        <w:rPr>
          <w:rFonts w:ascii="仿宋_GB2312" w:hAnsi="仿宋" w:eastAsia="仿宋_GB2312"/>
          <w:sz w:val="28"/>
          <w:szCs w:val="28"/>
        </w:rPr>
      </w:pPr>
      <w:r>
        <w:rPr>
          <w:rFonts w:hint="eastAsia" w:ascii="仿宋_GB2312" w:hAnsi="仿宋" w:eastAsia="仿宋_GB2312"/>
          <w:sz w:val="28"/>
          <w:szCs w:val="28"/>
          <w:lang w:eastAsia="zh-CN"/>
        </w:rPr>
        <w:t>净水</w:t>
      </w:r>
      <w:r>
        <w:rPr>
          <w:rFonts w:hint="eastAsia" w:ascii="仿宋_GB2312" w:hAnsi="仿宋" w:eastAsia="仿宋_GB2312"/>
          <w:sz w:val="28"/>
          <w:szCs w:val="28"/>
        </w:rPr>
        <w:t>厂数据对接清单</w:t>
      </w:r>
    </w:p>
    <w:tbl>
      <w:tblPr>
        <w:tblStyle w:val="45"/>
        <w:tblW w:w="8723" w:type="dxa"/>
        <w:jc w:val="center"/>
        <w:tblLayout w:type="fixed"/>
        <w:tblCellMar>
          <w:top w:w="0" w:type="dxa"/>
          <w:left w:w="108" w:type="dxa"/>
          <w:bottom w:w="0" w:type="dxa"/>
          <w:right w:w="108" w:type="dxa"/>
        </w:tblCellMar>
      </w:tblPr>
      <w:tblGrid>
        <w:gridCol w:w="834"/>
        <w:gridCol w:w="1578"/>
        <w:gridCol w:w="3354"/>
        <w:gridCol w:w="1578"/>
        <w:gridCol w:w="1379"/>
      </w:tblGrid>
      <w:tr>
        <w:tblPrEx>
          <w:tblCellMar>
            <w:top w:w="0" w:type="dxa"/>
            <w:left w:w="108" w:type="dxa"/>
            <w:bottom w:w="0" w:type="dxa"/>
            <w:right w:w="108" w:type="dxa"/>
          </w:tblCellMar>
        </w:tblPrEx>
        <w:trPr>
          <w:trHeight w:val="411" w:hRule="atLeast"/>
          <w:jc w:val="center"/>
        </w:trPr>
        <w:tc>
          <w:tcPr>
            <w:tcW w:w="8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序号</w:t>
            </w:r>
          </w:p>
        </w:tc>
        <w:tc>
          <w:tcPr>
            <w:tcW w:w="157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数据类型</w:t>
            </w:r>
          </w:p>
        </w:tc>
        <w:tc>
          <w:tcPr>
            <w:tcW w:w="33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数据明细</w:t>
            </w:r>
          </w:p>
        </w:tc>
        <w:tc>
          <w:tcPr>
            <w:tcW w:w="1578" w:type="dxa"/>
            <w:tcBorders>
              <w:top w:val="single" w:color="auto" w:sz="4" w:space="0"/>
              <w:left w:val="nil"/>
              <w:bottom w:val="single" w:color="auto" w:sz="4" w:space="0"/>
              <w:right w:val="single" w:color="auto" w:sz="4" w:space="0"/>
            </w:tcBorders>
            <w:shd w:val="clear" w:color="000000" w:fill="FFFFFF"/>
            <w:noWrap/>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单位</w:t>
            </w:r>
          </w:p>
        </w:tc>
        <w:tc>
          <w:tcPr>
            <w:tcW w:w="1379" w:type="dxa"/>
            <w:tcBorders>
              <w:top w:val="single" w:color="auto" w:sz="4" w:space="0"/>
              <w:left w:val="nil"/>
              <w:bottom w:val="single" w:color="auto" w:sz="4" w:space="0"/>
              <w:right w:val="single" w:color="auto" w:sz="4" w:space="0"/>
            </w:tcBorders>
            <w:shd w:val="clear" w:color="000000" w:fill="FFFFFF"/>
            <w:noWrap/>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取值间隔</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化验室数据</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进水水温</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o</w:t>
            </w:r>
            <w:r>
              <w:rPr>
                <w:rFonts w:hint="eastAsia" w:ascii="仿宋_GB2312" w:hAnsi="仿宋" w:eastAsia="仿宋_GB2312"/>
                <w:sz w:val="24"/>
              </w:rPr>
              <w:t>C</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进水p</w:t>
            </w:r>
            <w:r>
              <w:rPr>
                <w:rFonts w:ascii="仿宋_GB2312" w:hAnsi="仿宋" w:eastAsia="仿宋_GB2312"/>
                <w:sz w:val="24"/>
              </w:rPr>
              <w:t>H</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进水CODcr</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进水SS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进水TN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进水TP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进水NH3-N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进水BOD5</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进水B/C</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出水pH</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出水CODcr</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出水S</w:t>
            </w:r>
            <w:r>
              <w:rPr>
                <w:rFonts w:ascii="仿宋_GB2312" w:hAnsi="仿宋" w:eastAsia="仿宋_GB2312"/>
                <w:sz w:val="24"/>
              </w:rPr>
              <w:t>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出水TN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出水TP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出水NH3-N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出水BOD5</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粪大肠菌</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Cell/L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ascii="仿宋_GB2312" w:hAnsi="仿宋" w:eastAsia="仿宋_GB2312"/>
                <w:sz w:val="24"/>
              </w:rPr>
              <w:t>MLSS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M</w:t>
            </w:r>
            <w:r>
              <w:rPr>
                <w:rFonts w:ascii="仿宋_GB2312" w:hAnsi="仿宋" w:eastAsia="仿宋_GB2312"/>
                <w:sz w:val="24"/>
              </w:rPr>
              <w:t>LVSS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外运污泥含水率</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2</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进水水质</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在线水温</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在线pH</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在线CODcr</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在线SS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在线TN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在线TP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在线NH3-N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2小时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3</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出水水质</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在线CODcr</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在线SS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在线TN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在线TP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2小时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在线NH3-N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2小时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4</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粗格栅</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前液位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后液位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前后液位差（计算值）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5</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细格栅</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前液位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后液位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前后液位差（计算值）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6</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进水提升泵站</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出水压力</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KPa</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瞬时流量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w:t>
            </w:r>
            <w:r>
              <w:rPr>
                <w:rFonts w:ascii="仿宋_GB2312" w:hAnsi="仿宋" w:eastAsia="仿宋_GB2312"/>
                <w:sz w:val="24"/>
              </w:rPr>
              <w:t>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累积流量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7</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生化池主要工艺参数</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DO</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ORP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mV</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MLSS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SVI</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ml/g</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SV30</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缺氧池出口NO3-N</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内回流流量瞬时值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内回流流量累积值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内回流比（计算值）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8</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各二沉池</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泥位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水力负荷（计算值）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固体负荷（计算值）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K</w:t>
            </w:r>
            <w:r>
              <w:rPr>
                <w:rFonts w:hint="eastAsia" w:ascii="仿宋_GB2312" w:hAnsi="仿宋" w:eastAsia="仿宋_GB2312"/>
                <w:sz w:val="24"/>
              </w:rPr>
              <w:t>g</w:t>
            </w:r>
            <w:r>
              <w:rPr>
                <w:rFonts w:ascii="仿宋_GB2312" w:hAnsi="仿宋" w:eastAsia="仿宋_GB2312"/>
                <w:sz w:val="24"/>
              </w:rPr>
              <w:t xml:space="preserve"> </w:t>
            </w:r>
            <w:r>
              <w:rPr>
                <w:rFonts w:hint="eastAsia" w:ascii="仿宋_GB2312" w:hAnsi="仿宋" w:eastAsia="仿宋_GB2312"/>
                <w:sz w:val="24"/>
              </w:rPr>
              <w:t>SS/m2.</w:t>
            </w:r>
            <w:r>
              <w:rPr>
                <w:rFonts w:ascii="仿宋_GB2312" w:hAnsi="仿宋" w:eastAsia="仿宋_GB2312"/>
                <w:sz w:val="24"/>
              </w:rPr>
              <w:t>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污泥回流量瞬时值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污泥回流量累积值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外回流比（计算值）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剩余污泥排泥流量瞬时值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剩余污泥排泥流量累积值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剩余污泥排</w:t>
            </w:r>
            <w:r>
              <w:rPr>
                <w:rFonts w:ascii="仿宋_GB2312" w:hAnsi="仿宋" w:eastAsia="仿宋_GB2312"/>
                <w:sz w:val="24"/>
              </w:rPr>
              <w:t>SS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9</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混凝絮凝沉淀池</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进水TP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2小时</w:t>
            </w:r>
            <w:r>
              <w:rPr>
                <w:rFonts w:ascii="仿宋_GB2312" w:hAnsi="仿宋" w:eastAsia="仿宋_GB2312"/>
                <w:sz w:val="24"/>
              </w:rPr>
              <w:t xml:space="preserve"> </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出水TP</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2小时</w:t>
            </w:r>
            <w:r>
              <w:rPr>
                <w:rFonts w:ascii="仿宋_GB2312" w:hAnsi="仿宋" w:eastAsia="仿宋_GB2312"/>
                <w:sz w:val="24"/>
              </w:rPr>
              <w:t xml:space="preserve"> </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进水S</w:t>
            </w:r>
            <w:r>
              <w:rPr>
                <w:rFonts w:ascii="仿宋_GB2312" w:hAnsi="仿宋" w:eastAsia="仿宋_GB2312"/>
                <w:sz w:val="24"/>
              </w:rPr>
              <w:t>S</w:t>
            </w:r>
            <w:r>
              <w:rPr>
                <w:rFonts w:hint="eastAsia" w:ascii="仿宋_GB2312" w:hAnsi="仿宋" w:eastAsia="仿宋_GB2312"/>
                <w:sz w:val="24"/>
              </w:rPr>
              <w:t>或浊度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出水S</w:t>
            </w:r>
            <w:r>
              <w:rPr>
                <w:rFonts w:ascii="仿宋_GB2312" w:hAnsi="仿宋" w:eastAsia="仿宋_GB2312"/>
                <w:sz w:val="24"/>
              </w:rPr>
              <w:t>S</w:t>
            </w:r>
            <w:r>
              <w:rPr>
                <w:rFonts w:hint="eastAsia" w:ascii="仿宋_GB2312" w:hAnsi="仿宋" w:eastAsia="仿宋_GB2312"/>
                <w:sz w:val="24"/>
              </w:rPr>
              <w:t>或浊度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p>
        </w:tc>
      </w:tr>
      <w:tr>
        <w:tblPrEx>
          <w:tblCellMar>
            <w:top w:w="0" w:type="dxa"/>
            <w:left w:w="108" w:type="dxa"/>
            <w:bottom w:w="0" w:type="dxa"/>
            <w:right w:w="108" w:type="dxa"/>
          </w:tblCellMar>
        </w:tblPrEx>
        <w:trPr>
          <w:trHeight w:val="291"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8</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各滤池</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进水液位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阻塞值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cm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出水SS或浊度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mg/l/NTU</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r>
              <w:rPr>
                <w:rFonts w:ascii="仿宋_GB2312" w:hAnsi="仿宋" w:eastAsia="仿宋_GB2312"/>
                <w:sz w:val="24"/>
              </w:rPr>
              <w:t xml:space="preserve"> </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反洗水量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M3/d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9</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各鼓风机</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出口风压</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kpa</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出口风量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出口温度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鼓风机频率</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hz</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10</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污泥浓缩脱水</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浓缩池进泥流量瞬时值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浓缩池进泥流量累积值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浓缩池进泥浓度S</w:t>
            </w:r>
            <w:r>
              <w:rPr>
                <w:rFonts w:ascii="仿宋_GB2312" w:hAnsi="仿宋" w:eastAsia="仿宋_GB2312"/>
                <w:sz w:val="24"/>
              </w:rPr>
              <w:t>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浓缩池液位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浓缩污泥储泥池污泥浓度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脱水机进泥流量瞬时值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脱水机进泥流量累积值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外运污泥量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ton</w:t>
            </w:r>
            <w:r>
              <w:rPr>
                <w:rFonts w:hint="eastAsia" w:ascii="仿宋_GB2312" w:hAnsi="仿宋" w:eastAsia="仿宋_GB2312"/>
                <w:sz w:val="24"/>
              </w:rPr>
              <w:t>/d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11</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臭气处理</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风机风量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风机风压</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kpa</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出口H2S</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出口NH3</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12</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反硝化碳源投加量</w:t>
            </w:r>
          </w:p>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（乙酸钠等）</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乙酸钠投加流量瞬时值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乙酸钠投加流量累积值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乙酸钠制备浓度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1小时（在线或人工）</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溶液池液位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乙酸钠投加单耗（计算值）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乙酸钠投加量（计算值）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Kg/d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13</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混凝剂投加量</w:t>
            </w:r>
          </w:p>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(PAC、聚合硫酸铁、三氯化铁等)</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投加流量瞬时值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投加流量累积值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制备浓度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1小时（在线或人工）</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溶液池液位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单耗（计算值）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投加量（计算值）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Kg/d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14</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絮凝剂投加量</w:t>
            </w:r>
          </w:p>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（阴离子P</w:t>
            </w:r>
            <w:r>
              <w:rPr>
                <w:rFonts w:ascii="仿宋_GB2312" w:hAnsi="仿宋" w:eastAsia="仿宋_GB2312"/>
                <w:sz w:val="24"/>
              </w:rPr>
              <w:t>AM）</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投加流量瞬时值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投加流量累积值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制备浓度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1小时（在线或人工）</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溶液池液位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絮凝剂投加量单耗（计算值）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絮凝剂投加量（计算值）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Kg/d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w:t>
            </w:r>
            <w:r>
              <w:rPr>
                <w:rFonts w:ascii="仿宋_GB2312" w:hAnsi="仿宋" w:eastAsia="仿宋_GB2312"/>
                <w:sz w:val="24"/>
              </w:rPr>
              <w:t>5</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消毒剂投加量</w:t>
            </w:r>
          </w:p>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（次氯酸钠，二氧化氯等）</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投加流量瞬时值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投加流量累积值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制备浓度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1小时（在线或人工）</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溶液池液位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消毒剂投加量单耗（计算值）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消毒剂投加量（计算值）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Kg/d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16</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脱水剂投加量</w:t>
            </w:r>
          </w:p>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(阳离子P</w:t>
            </w:r>
            <w:r>
              <w:rPr>
                <w:rFonts w:ascii="仿宋_GB2312" w:hAnsi="仿宋" w:eastAsia="仿宋_GB2312"/>
                <w:sz w:val="24"/>
              </w:rPr>
              <w:t>AM</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投加流量瞬时值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投加流量累积值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m3/h</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center"/>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制备浓度</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1小时（在线或人工）</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溶液池液位</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投加量单耗（计算值）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mg/L</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投加量（计算值）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Kg/d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单耗（计算值）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ascii="仿宋_GB2312" w:hAnsi="仿宋" w:eastAsia="仿宋_GB2312"/>
                <w:sz w:val="24"/>
              </w:rPr>
              <w:t>Kg PAM/</w:t>
            </w:r>
            <w:r>
              <w:rPr>
                <w:rFonts w:hint="eastAsia" w:ascii="仿宋_GB2312" w:hAnsi="仿宋" w:eastAsia="仿宋_GB2312"/>
                <w:sz w:val="24"/>
              </w:rPr>
              <w:t>DS</w:t>
            </w:r>
            <w:r>
              <w:rPr>
                <w:rFonts w:ascii="仿宋_GB2312" w:hAnsi="仿宋" w:eastAsia="仿宋_GB2312"/>
                <w:sz w:val="24"/>
              </w:rPr>
              <w:t xml:space="preserve"> ton</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天</w:t>
            </w:r>
          </w:p>
        </w:tc>
      </w:tr>
      <w:tr>
        <w:tblPrEx>
          <w:tblCellMar>
            <w:top w:w="0" w:type="dxa"/>
            <w:left w:w="108" w:type="dxa"/>
            <w:bottom w:w="0" w:type="dxa"/>
            <w:right w:w="108" w:type="dxa"/>
          </w:tblCellMar>
        </w:tblPrEx>
        <w:trPr>
          <w:trHeight w:val="253" w:hRule="atLeast"/>
          <w:jc w:val="center"/>
        </w:trPr>
        <w:tc>
          <w:tcPr>
            <w:tcW w:w="834"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17</w:t>
            </w:r>
          </w:p>
        </w:tc>
        <w:tc>
          <w:tcPr>
            <w:tcW w:w="1578" w:type="dxa"/>
            <w:vMerge w:val="restart"/>
            <w:tcBorders>
              <w:top w:val="single" w:color="auto" w:sz="4" w:space="0"/>
              <w:left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电量分布</w:t>
            </w: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全厂电量分布</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进水提升泵间电量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鼓风机间电量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主要搅拌器电量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中间提升泵间电量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内回流泵电量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外回流泵电量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反洗泵房电量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紫外消毒电量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出水泵房电量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污泥脱水间电量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臭气处理电量</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kWh/d</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小时或天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实际吨水电耗（计算值）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kWh/m3</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bottom"/>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实际公斤BOD电耗（计算值）</w:t>
            </w:r>
          </w:p>
        </w:tc>
        <w:tc>
          <w:tcPr>
            <w:tcW w:w="1578"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kWh/kg BOD5</w:t>
            </w:r>
          </w:p>
        </w:tc>
        <w:tc>
          <w:tcPr>
            <w:tcW w:w="1379" w:type="dxa"/>
            <w:tcBorders>
              <w:top w:val="nil"/>
              <w:left w:val="nil"/>
              <w:bottom w:val="single" w:color="auto" w:sz="4" w:space="0"/>
              <w:right w:val="single" w:color="auto" w:sz="4" w:space="0"/>
            </w:tcBorders>
            <w:noWrap/>
            <w:vAlign w:val="bottom"/>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1天</w:t>
            </w:r>
          </w:p>
        </w:tc>
      </w:tr>
      <w:tr>
        <w:tblPrEx>
          <w:tblCellMar>
            <w:top w:w="0" w:type="dxa"/>
            <w:left w:w="108" w:type="dxa"/>
            <w:bottom w:w="0" w:type="dxa"/>
            <w:right w:w="108" w:type="dxa"/>
          </w:tblCellMar>
        </w:tblPrEx>
        <w:trPr>
          <w:trHeight w:val="253" w:hRule="atLeast"/>
          <w:jc w:val="center"/>
        </w:trPr>
        <w:tc>
          <w:tcPr>
            <w:tcW w:w="834" w:type="dxa"/>
            <w:vMerge w:val="continue"/>
            <w:tcBorders>
              <w:left w:val="single" w:color="auto" w:sz="4" w:space="0"/>
              <w:bottom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1578" w:type="dxa"/>
            <w:vMerge w:val="continue"/>
            <w:tcBorders>
              <w:left w:val="single" w:color="auto" w:sz="4" w:space="0"/>
              <w:bottom w:val="single" w:color="auto" w:sz="4" w:space="0"/>
              <w:right w:val="single" w:color="auto" w:sz="4" w:space="0"/>
            </w:tcBorders>
          </w:tcPr>
          <w:p>
            <w:pPr>
              <w:widowControl/>
              <w:kinsoku/>
              <w:wordWrap/>
              <w:overflowPunct/>
              <w:bidi w:val="0"/>
              <w:spacing w:line="560" w:lineRule="atLeast"/>
              <w:jc w:val="left"/>
              <w:textAlignment w:val="auto"/>
              <w:rPr>
                <w:rFonts w:ascii="仿宋_GB2312" w:hAnsi="仿宋" w:eastAsia="仿宋_GB2312"/>
                <w:sz w:val="24"/>
              </w:rPr>
            </w:pPr>
          </w:p>
        </w:tc>
        <w:tc>
          <w:tcPr>
            <w:tcW w:w="3354" w:type="dxa"/>
            <w:tcBorders>
              <w:top w:val="nil"/>
              <w:left w:val="single" w:color="auto" w:sz="4" w:space="0"/>
              <w:bottom w:val="single" w:color="auto" w:sz="4" w:space="0"/>
              <w:right w:val="single" w:color="auto" w:sz="4" w:space="0"/>
            </w:tcBorders>
            <w:noWrap/>
            <w:vAlign w:val="center"/>
          </w:tcPr>
          <w:p>
            <w:pPr>
              <w:widowControl/>
              <w:kinsoku/>
              <w:wordWrap/>
              <w:overflowPunct/>
              <w:bidi w:val="0"/>
              <w:spacing w:line="560" w:lineRule="atLeast"/>
              <w:jc w:val="left"/>
              <w:textAlignment w:val="auto"/>
              <w:rPr>
                <w:rFonts w:ascii="仿宋_GB2312" w:hAnsi="仿宋" w:eastAsia="仿宋_GB2312"/>
                <w:sz w:val="24"/>
              </w:rPr>
            </w:pPr>
            <w:r>
              <w:rPr>
                <w:rFonts w:hint="eastAsia" w:ascii="仿宋_GB2312" w:hAnsi="仿宋" w:eastAsia="仿宋_GB2312"/>
                <w:sz w:val="24"/>
              </w:rPr>
              <w:t>实际公斤COD电耗（计算值）</w:t>
            </w:r>
          </w:p>
        </w:tc>
        <w:tc>
          <w:tcPr>
            <w:tcW w:w="1578" w:type="dxa"/>
            <w:tcBorders>
              <w:top w:val="nil"/>
              <w:left w:val="nil"/>
              <w:bottom w:val="single" w:color="auto" w:sz="4" w:space="0"/>
              <w:right w:val="single" w:color="auto" w:sz="4" w:space="0"/>
            </w:tcBorders>
            <w:noWrap/>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kWh/kg CODcr</w:t>
            </w:r>
          </w:p>
        </w:tc>
        <w:tc>
          <w:tcPr>
            <w:tcW w:w="1379" w:type="dxa"/>
            <w:tcBorders>
              <w:top w:val="nil"/>
              <w:left w:val="nil"/>
              <w:bottom w:val="single" w:color="auto" w:sz="4" w:space="0"/>
              <w:right w:val="single" w:color="auto" w:sz="4" w:space="0"/>
            </w:tcBorders>
            <w:noWrap/>
            <w:vAlign w:val="center"/>
          </w:tcPr>
          <w:p>
            <w:pPr>
              <w:widowControl/>
              <w:kinsoku/>
              <w:wordWrap/>
              <w:overflowPunct/>
              <w:bidi w:val="0"/>
              <w:spacing w:line="560" w:lineRule="atLeast"/>
              <w:jc w:val="center"/>
              <w:textAlignment w:val="auto"/>
              <w:rPr>
                <w:rFonts w:ascii="仿宋_GB2312" w:hAnsi="仿宋" w:eastAsia="仿宋_GB2312"/>
                <w:sz w:val="24"/>
              </w:rPr>
            </w:pPr>
            <w:r>
              <w:rPr>
                <w:rFonts w:hint="eastAsia" w:ascii="仿宋_GB2312" w:hAnsi="仿宋" w:eastAsia="仿宋_GB2312"/>
                <w:sz w:val="24"/>
              </w:rPr>
              <w:t>1天</w:t>
            </w:r>
          </w:p>
        </w:tc>
      </w:tr>
    </w:tbl>
    <w:p>
      <w:pPr>
        <w:widowControl/>
        <w:kinsoku/>
        <w:wordWrap/>
        <w:overflowPunct/>
        <w:bidi w:val="0"/>
        <w:adjustRightInd w:val="0"/>
        <w:snapToGrid w:val="0"/>
        <w:spacing w:line="560" w:lineRule="atLeast"/>
        <w:ind w:firstLine="420"/>
        <w:jc w:val="left"/>
        <w:textAlignment w:val="auto"/>
        <w:rPr>
          <w:rFonts w:ascii="仿宋_GB2312" w:hAnsi="仿宋" w:eastAsia="仿宋_GB2312"/>
          <w:sz w:val="28"/>
          <w:szCs w:val="28"/>
        </w:rPr>
      </w:pPr>
    </w:p>
    <w:p>
      <w:pPr>
        <w:pStyle w:val="139"/>
        <w:widowControl/>
        <w:numPr>
          <w:ilvl w:val="0"/>
          <w:numId w:val="0"/>
        </w:numPr>
        <w:kinsoku/>
        <w:wordWrap/>
        <w:overflowPunct/>
        <w:bidi w:val="0"/>
        <w:spacing w:line="560" w:lineRule="atLeast"/>
        <w:ind w:left="420" w:leftChars="0"/>
        <w:jc w:val="left"/>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lang w:eastAsia="zh-CN"/>
        </w:rPr>
        <w:t>（</w:t>
      </w:r>
      <w:r>
        <w:rPr>
          <w:rFonts w:hint="eastAsia" w:ascii="仿宋_GB2312" w:hAnsi="仿宋" w:eastAsia="仿宋_GB2312" w:cs="Times New Roman"/>
          <w:snapToGrid/>
          <w:kern w:val="2"/>
          <w:sz w:val="28"/>
          <w:szCs w:val="28"/>
          <w:lang w:val="en-US" w:eastAsia="zh-CN"/>
        </w:rPr>
        <w:t>3</w:t>
      </w:r>
      <w:r>
        <w:rPr>
          <w:rFonts w:hint="eastAsia" w:ascii="仿宋_GB2312" w:hAnsi="仿宋" w:eastAsia="仿宋_GB2312" w:cs="Times New Roman"/>
          <w:snapToGrid/>
          <w:kern w:val="2"/>
          <w:sz w:val="28"/>
          <w:szCs w:val="28"/>
          <w:lang w:eastAsia="zh-CN"/>
        </w:rPr>
        <w:t>）</w:t>
      </w:r>
      <w:r>
        <w:rPr>
          <w:rFonts w:hint="eastAsia" w:ascii="仿宋_GB2312" w:hAnsi="仿宋" w:eastAsia="仿宋_GB2312" w:cs="Times New Roman"/>
          <w:snapToGrid/>
          <w:kern w:val="2"/>
          <w:sz w:val="28"/>
          <w:szCs w:val="28"/>
        </w:rPr>
        <w:t>视频数据对接服务要求：</w:t>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在厂站视频网络硬盘录像机接通网络及满足支持国标GB28181协议前提下，确保摄像头的监控视频及对应网络/硬盘录像机设备以国标GB28181协议接入国润专属物联网平台。</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将川</w:t>
      </w:r>
      <w:r>
        <w:rPr>
          <w:rFonts w:hint="eastAsia" w:ascii="仿宋_GB2312" w:hAnsi="仿宋" w:eastAsia="仿宋_GB2312"/>
          <w:sz w:val="28"/>
          <w:szCs w:val="28"/>
          <w:lang w:eastAsia="zh-CN"/>
        </w:rPr>
        <w:t>东</w:t>
      </w:r>
      <w:r>
        <w:rPr>
          <w:rFonts w:hint="eastAsia" w:ascii="仿宋_GB2312" w:hAnsi="仿宋" w:eastAsia="仿宋_GB2312"/>
          <w:sz w:val="28"/>
          <w:szCs w:val="28"/>
        </w:rPr>
        <w:t>各厂站的实时多路视频图像接入国润专属物联网平台。通过视频数据实时监督、历史查询等功能，实现多项目公司生产过程的可视化管控。视频数据接入。支持实时视频展示，支持视频数据存储备份。支持视频数据回放，视频回放时间长度与厂区本地录像存储设备存储视频时间长度一致。</w:t>
      </w:r>
    </w:p>
    <w:p>
      <w:pPr>
        <w:pStyle w:val="139"/>
        <w:numPr>
          <w:ilvl w:val="0"/>
          <w:numId w:val="10"/>
        </w:numPr>
        <w:kinsoku/>
        <w:wordWrap/>
        <w:overflowPunct/>
        <w:bidi w:val="0"/>
        <w:spacing w:line="560" w:lineRule="atLeast"/>
        <w:ind w:firstLineChars="0"/>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服务器要求</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（1）第三方通讯接口要求</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具备通用Webservice接口，支持平台开发。接口内容至少包括如下基本功能：</w:t>
      </w:r>
    </w:p>
    <w:tbl>
      <w:tblPr>
        <w:tblStyle w:val="45"/>
        <w:tblW w:w="910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43" w:type="dxa"/>
            <w:vAlign w:val="center"/>
          </w:tcPr>
          <w:p>
            <w:pPr>
              <w:kinsoku/>
              <w:wordWrap/>
              <w:overflowPunct/>
              <w:bidi w:val="0"/>
              <w:spacing w:line="560" w:lineRule="atLeast"/>
              <w:ind w:left="-951" w:leftChars="-453" w:firstLine="1567" w:firstLineChars="653"/>
              <w:textAlignment w:val="auto"/>
              <w:rPr>
                <w:rFonts w:ascii="仿宋_GB2312" w:hAnsi="仿宋" w:eastAsia="仿宋_GB2312"/>
                <w:sz w:val="24"/>
              </w:rPr>
            </w:pPr>
            <w:r>
              <w:rPr>
                <w:rFonts w:hint="eastAsia" w:ascii="仿宋_GB2312" w:hAnsi="仿宋" w:eastAsia="仿宋_GB2312"/>
                <w:sz w:val="24"/>
              </w:rPr>
              <w:t>安全登录</w:t>
            </w:r>
          </w:p>
        </w:tc>
        <w:tc>
          <w:tcPr>
            <w:tcW w:w="7266" w:type="dxa"/>
          </w:tcPr>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可通过Webservice接口利用设备ID和密码登录，登录后方可对特定的设备进行操作。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43" w:type="dxa"/>
            <w:vAlign w:val="center"/>
          </w:tcPr>
          <w:p>
            <w:pPr>
              <w:kinsoku/>
              <w:wordWrap/>
              <w:overflowPunct/>
              <w:bidi w:val="0"/>
              <w:spacing w:line="560" w:lineRule="atLeast"/>
              <w:ind w:firstLine="480" w:firstLineChars="200"/>
              <w:textAlignment w:val="auto"/>
              <w:rPr>
                <w:rFonts w:ascii="仿宋_GB2312" w:hAnsi="仿宋" w:eastAsia="仿宋_GB2312"/>
                <w:sz w:val="24"/>
              </w:rPr>
            </w:pPr>
            <w:r>
              <w:rPr>
                <w:rFonts w:hint="eastAsia" w:ascii="仿宋_GB2312" w:hAnsi="仿宋" w:eastAsia="仿宋_GB2312"/>
                <w:sz w:val="24"/>
              </w:rPr>
              <w:t>枚举变量</w:t>
            </w:r>
          </w:p>
        </w:tc>
        <w:tc>
          <w:tcPr>
            <w:tcW w:w="7266" w:type="dxa"/>
          </w:tcPr>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可通过Webservice接口枚举控制系统全部变量，以方便平台开发直接获取项目信息。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43" w:type="dxa"/>
            <w:vAlign w:val="center"/>
          </w:tcPr>
          <w:p>
            <w:pPr>
              <w:kinsoku/>
              <w:wordWrap/>
              <w:overflowPunct/>
              <w:bidi w:val="0"/>
              <w:spacing w:line="560" w:lineRule="atLeast"/>
              <w:ind w:firstLine="480" w:firstLineChars="200"/>
              <w:textAlignment w:val="auto"/>
              <w:rPr>
                <w:rFonts w:ascii="仿宋_GB2312" w:hAnsi="仿宋" w:eastAsia="仿宋_GB2312"/>
                <w:sz w:val="24"/>
              </w:rPr>
            </w:pPr>
            <w:r>
              <w:rPr>
                <w:rFonts w:hint="eastAsia" w:ascii="仿宋_GB2312" w:hAnsi="仿宋" w:eastAsia="仿宋_GB2312"/>
                <w:sz w:val="24"/>
              </w:rPr>
              <w:t>读变量</w:t>
            </w:r>
          </w:p>
        </w:tc>
        <w:tc>
          <w:tcPr>
            <w:tcW w:w="7266" w:type="dxa"/>
          </w:tcPr>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可通过Webservice接口获取现场数据信息，如风机水泵运行状态，电流。要求全部变量具备通讯质量戳，以保证通讯可靠性。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43" w:type="dxa"/>
            <w:vAlign w:val="center"/>
          </w:tcPr>
          <w:p>
            <w:pPr>
              <w:kinsoku/>
              <w:wordWrap/>
              <w:overflowPunct/>
              <w:bidi w:val="0"/>
              <w:spacing w:line="560" w:lineRule="atLeast"/>
              <w:ind w:firstLine="480" w:firstLineChars="200"/>
              <w:textAlignment w:val="auto"/>
              <w:rPr>
                <w:rFonts w:ascii="仿宋_GB2312" w:hAnsi="仿宋" w:eastAsia="仿宋_GB2312"/>
                <w:sz w:val="24"/>
              </w:rPr>
            </w:pPr>
            <w:r>
              <w:rPr>
                <w:rFonts w:hint="eastAsia" w:ascii="仿宋_GB2312" w:hAnsi="仿宋" w:eastAsia="仿宋_GB2312"/>
                <w:sz w:val="24"/>
              </w:rPr>
              <w:t>写变量</w:t>
            </w:r>
          </w:p>
        </w:tc>
        <w:tc>
          <w:tcPr>
            <w:tcW w:w="7266" w:type="dxa"/>
          </w:tcPr>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可通过Webservice接口控制现场设备信息，如启停控制，报警复位。要求全部控制有返回状态，以保证控制有效执行。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843" w:type="dxa"/>
            <w:vAlign w:val="center"/>
          </w:tcPr>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设备状态获取</w:t>
            </w:r>
          </w:p>
        </w:tc>
        <w:tc>
          <w:tcPr>
            <w:tcW w:w="7266" w:type="dxa"/>
          </w:tcPr>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可获取设备电压，时间，信号强度，通讯故障，在线状况等等关键信息，以保证平台可对系统的状态进行诊断，分析，统计。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843" w:type="dxa"/>
            <w:vAlign w:val="center"/>
          </w:tcPr>
          <w:p>
            <w:pPr>
              <w:kinsoku/>
              <w:wordWrap/>
              <w:overflowPunct/>
              <w:bidi w:val="0"/>
              <w:spacing w:line="560" w:lineRule="atLeast"/>
              <w:ind w:firstLine="480" w:firstLineChars="200"/>
              <w:textAlignment w:val="auto"/>
              <w:rPr>
                <w:rFonts w:ascii="仿宋_GB2312" w:hAnsi="仿宋" w:eastAsia="仿宋_GB2312"/>
                <w:sz w:val="24"/>
              </w:rPr>
            </w:pPr>
            <w:r>
              <w:rPr>
                <w:rFonts w:hint="eastAsia" w:ascii="仿宋_GB2312" w:hAnsi="仿宋" w:eastAsia="仿宋_GB2312"/>
                <w:sz w:val="24"/>
              </w:rPr>
              <w:t>权限管理</w:t>
            </w:r>
          </w:p>
        </w:tc>
        <w:tc>
          <w:tcPr>
            <w:tcW w:w="7266" w:type="dxa"/>
          </w:tcPr>
          <w:p>
            <w:pPr>
              <w:kinsoku/>
              <w:wordWrap/>
              <w:overflowPunct/>
              <w:bidi w:val="0"/>
              <w:spacing w:line="560" w:lineRule="atLeast"/>
              <w:textAlignment w:val="auto"/>
              <w:rPr>
                <w:rFonts w:ascii="仿宋_GB2312" w:hAnsi="仿宋" w:eastAsia="仿宋_GB2312"/>
                <w:sz w:val="24"/>
              </w:rPr>
            </w:pPr>
            <w:r>
              <w:rPr>
                <w:rFonts w:hint="eastAsia" w:ascii="仿宋_GB2312" w:hAnsi="仿宋" w:eastAsia="仿宋_GB2312"/>
                <w:sz w:val="24"/>
              </w:rPr>
              <w:t>应具备完善的分级管理权限，以不同权限登录 只可对指定的数据进行读写操作。</w:t>
            </w:r>
          </w:p>
        </w:tc>
      </w:tr>
    </w:tbl>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（2）网络传输安全要求</w:t>
      </w:r>
    </w:p>
    <w:p>
      <w:pPr>
        <w:numPr>
          <w:ilvl w:val="0"/>
          <w:numId w:val="7"/>
        </w:numPr>
        <w:kinsoku/>
        <w:wordWrap/>
        <w:overflowPunct/>
        <w:bidi w:val="0"/>
        <w:spacing w:line="560" w:lineRule="atLeast"/>
        <w:textAlignment w:val="auto"/>
        <w:rPr>
          <w:rFonts w:ascii="仿宋_GB2312" w:hAnsi="仿宋" w:eastAsia="仿宋_GB2312"/>
          <w:sz w:val="28"/>
          <w:szCs w:val="28"/>
        </w:rPr>
      </w:pPr>
      <w:r>
        <w:rPr>
          <w:rFonts w:hint="eastAsia" w:ascii="仿宋_GB2312" w:hAnsi="仿宋" w:eastAsia="仿宋_GB2312"/>
          <w:sz w:val="28"/>
          <w:szCs w:val="28"/>
        </w:rPr>
        <w:t>内容加密</w:t>
      </w:r>
    </w:p>
    <w:p>
      <w:pPr>
        <w:kinsoku/>
        <w:wordWrap/>
        <w:overflowPunct/>
        <w:bidi w:val="0"/>
        <w:spacing w:line="560" w:lineRule="atLeast"/>
        <w:ind w:left="555" w:firstLine="560" w:firstLineChars="200"/>
        <w:textAlignment w:val="auto"/>
        <w:rPr>
          <w:rFonts w:ascii="仿宋_GB2312" w:hAnsi="仿宋" w:eastAsia="仿宋_GB2312"/>
          <w:sz w:val="28"/>
          <w:szCs w:val="28"/>
        </w:rPr>
      </w:pPr>
      <w:r>
        <w:rPr>
          <w:rFonts w:hint="eastAsia" w:ascii="仿宋_GB2312" w:hAnsi="仿宋" w:eastAsia="仿宋_GB2312"/>
          <w:sz w:val="28"/>
          <w:szCs w:val="28"/>
        </w:rPr>
        <w:t>使用WEB接口访问数据服务器每次新建会话时都必须通过密码和ID安全登录，通过Webservice接口到服务器的内容必须以加密形式传输，以确保中间者无法直接查看原始内容。</w:t>
      </w:r>
    </w:p>
    <w:p>
      <w:pPr>
        <w:numPr>
          <w:ilvl w:val="0"/>
          <w:numId w:val="7"/>
        </w:numPr>
        <w:kinsoku/>
        <w:wordWrap/>
        <w:overflowPunct/>
        <w:bidi w:val="0"/>
        <w:spacing w:line="560" w:lineRule="atLeast"/>
        <w:textAlignment w:val="auto"/>
        <w:rPr>
          <w:rFonts w:ascii="仿宋_GB2312" w:hAnsi="仿宋" w:eastAsia="仿宋_GB2312"/>
          <w:sz w:val="28"/>
          <w:szCs w:val="28"/>
        </w:rPr>
      </w:pPr>
      <w:r>
        <w:rPr>
          <w:rFonts w:hint="eastAsia" w:ascii="仿宋_GB2312" w:hAnsi="仿宋" w:eastAsia="仿宋_GB2312"/>
          <w:sz w:val="28"/>
          <w:szCs w:val="28"/>
        </w:rPr>
        <w:t>身份认证</w:t>
      </w:r>
    </w:p>
    <w:p>
      <w:pPr>
        <w:kinsoku/>
        <w:wordWrap/>
        <w:overflowPunct/>
        <w:bidi w:val="0"/>
        <w:spacing w:line="560" w:lineRule="atLeast"/>
        <w:ind w:left="555" w:firstLine="560" w:firstLineChars="200"/>
        <w:textAlignment w:val="auto"/>
        <w:rPr>
          <w:rFonts w:ascii="仿宋_GB2312" w:hAnsi="仿宋" w:eastAsia="仿宋_GB2312"/>
          <w:sz w:val="28"/>
          <w:szCs w:val="28"/>
        </w:rPr>
      </w:pPr>
      <w:r>
        <w:rPr>
          <w:rFonts w:hint="eastAsia" w:ascii="仿宋_GB2312" w:hAnsi="仿宋" w:eastAsia="仿宋_GB2312"/>
          <w:sz w:val="28"/>
          <w:szCs w:val="28"/>
        </w:rPr>
        <w:t>应采用数字签名保证用户访问的是数据服务器。</w:t>
      </w:r>
    </w:p>
    <w:p>
      <w:pPr>
        <w:numPr>
          <w:ilvl w:val="0"/>
          <w:numId w:val="7"/>
        </w:numPr>
        <w:kinsoku/>
        <w:wordWrap/>
        <w:overflowPunct/>
        <w:bidi w:val="0"/>
        <w:spacing w:line="560" w:lineRule="atLeast"/>
        <w:textAlignment w:val="auto"/>
        <w:rPr>
          <w:rFonts w:ascii="仿宋_GB2312" w:hAnsi="仿宋" w:eastAsia="仿宋_GB2312"/>
          <w:sz w:val="28"/>
          <w:szCs w:val="28"/>
        </w:rPr>
      </w:pPr>
      <w:r>
        <w:rPr>
          <w:rFonts w:hint="eastAsia" w:ascii="仿宋_GB2312" w:hAnsi="仿宋" w:eastAsia="仿宋_GB2312"/>
          <w:sz w:val="28"/>
          <w:szCs w:val="28"/>
        </w:rPr>
        <w:t>数据完整性</w:t>
      </w:r>
    </w:p>
    <w:p>
      <w:pPr>
        <w:kinsoku/>
        <w:wordWrap/>
        <w:overflowPunct/>
        <w:bidi w:val="0"/>
        <w:spacing w:line="560" w:lineRule="atLeast"/>
        <w:ind w:left="555" w:firstLine="560" w:firstLineChars="200"/>
        <w:textAlignment w:val="auto"/>
        <w:rPr>
          <w:rFonts w:ascii="仿宋_GB2312" w:hAnsi="仿宋" w:eastAsia="仿宋_GB2312"/>
          <w:sz w:val="28"/>
          <w:szCs w:val="28"/>
        </w:rPr>
      </w:pPr>
      <w:r>
        <w:rPr>
          <w:rFonts w:hint="eastAsia" w:ascii="仿宋_GB2312" w:hAnsi="仿宋" w:eastAsia="仿宋_GB2312"/>
          <w:sz w:val="28"/>
          <w:szCs w:val="28"/>
        </w:rPr>
        <w:t>采用MD5或者其他算法防止网络传输过程中内容或数据被第三方冒充或者篡改。</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3</w:t>
      </w:r>
      <w:r>
        <w:rPr>
          <w:rFonts w:hint="eastAsia" w:ascii="仿宋_GB2312" w:hAnsi="仿宋" w:eastAsia="仿宋_GB2312"/>
          <w:sz w:val="28"/>
          <w:szCs w:val="28"/>
        </w:rPr>
        <w:t>）数据库安全要求</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数据库设计应根据GB17859-1999《计算机信息系统安全保护等级划分准则》中的《中华人民共和国公共安全行业标准GA/T 389-2002》，符合以下方面的安全规定。</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物理数据库的完整性：数据库中的数据不被各种自然的或物理的问题而破坏，如电力问题或设备故障等。</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逻辑数据库的完整性：对数据库结构的保护，对其中一个字段的修改不应该破坏其他字段。</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元素安全性：存储在数据库中的每个元素都是正确的。</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可审计性：可以追踪存取和修改数据库元素的用户。</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访问控制：确保只有授权的用户才能访问数据库，不同的用户被限制在不同的访问方式。</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身份验证：不管是审计追踪或者是对某一数据库的访问都要经过严格的身份验证。</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可用性：对授权的用户应该随时可进行应有的数据库访问。</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（4）云服务器基本要求</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高可用性：</w:t>
      </w:r>
      <w:r>
        <w:rPr>
          <w:rFonts w:ascii="仿宋_GB2312" w:hAnsi="仿宋" w:eastAsia="仿宋_GB2312"/>
          <w:sz w:val="28"/>
          <w:szCs w:val="28"/>
        </w:rPr>
        <w:t>严格的IDC标准、服务器准入标准以及运维标准</w:t>
      </w:r>
      <w:r>
        <w:rPr>
          <w:rFonts w:hint="eastAsia" w:ascii="仿宋_GB2312" w:hAnsi="仿宋" w:eastAsia="仿宋_GB2312"/>
          <w:sz w:val="28"/>
          <w:szCs w:val="28"/>
        </w:rPr>
        <w:t>，</w:t>
      </w:r>
      <w:r>
        <w:rPr>
          <w:rFonts w:ascii="仿宋_GB2312" w:hAnsi="仿宋" w:eastAsia="仿宋_GB2312"/>
          <w:sz w:val="28"/>
          <w:szCs w:val="28"/>
        </w:rPr>
        <w:t>提升可用性的产品和服务，包括云服务器、负载均衡、多备份数据库服务以及数据迁移服务DTS等。</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安全性：需通过</w:t>
      </w:r>
      <w:r>
        <w:rPr>
          <w:rFonts w:ascii="仿宋_GB2312" w:hAnsi="仿宋" w:eastAsia="仿宋_GB2312"/>
          <w:sz w:val="28"/>
          <w:szCs w:val="28"/>
        </w:rPr>
        <w:t>国际安全标准认证，</w:t>
      </w:r>
      <w:r>
        <w:rPr>
          <w:rFonts w:hint="eastAsia" w:ascii="仿宋_GB2312" w:hAnsi="仿宋" w:eastAsia="仿宋_GB2312"/>
          <w:sz w:val="28"/>
          <w:szCs w:val="28"/>
        </w:rPr>
        <w:t>如</w:t>
      </w:r>
      <w:r>
        <w:rPr>
          <w:rFonts w:ascii="仿宋_GB2312" w:hAnsi="仿宋" w:eastAsia="仿宋_GB2312"/>
          <w:sz w:val="28"/>
          <w:szCs w:val="28"/>
        </w:rPr>
        <w:t>ISO27001、MTCS等，对于</w:t>
      </w:r>
      <w:r>
        <w:rPr>
          <w:rFonts w:hint="eastAsia" w:ascii="仿宋_GB2312" w:hAnsi="仿宋" w:eastAsia="仿宋_GB2312"/>
          <w:sz w:val="28"/>
          <w:szCs w:val="28"/>
        </w:rPr>
        <w:t>项目</w:t>
      </w:r>
      <w:r>
        <w:rPr>
          <w:rFonts w:ascii="仿宋_GB2312" w:hAnsi="仿宋" w:eastAsia="仿宋_GB2312"/>
          <w:sz w:val="28"/>
          <w:szCs w:val="28"/>
        </w:rPr>
        <w:t>数据的私密性、</w:t>
      </w:r>
      <w:r>
        <w:rPr>
          <w:rFonts w:hint="eastAsia" w:ascii="仿宋_GB2312" w:hAnsi="仿宋" w:eastAsia="仿宋_GB2312"/>
          <w:sz w:val="28"/>
          <w:szCs w:val="28"/>
        </w:rPr>
        <w:t>项目</w:t>
      </w:r>
      <w:r>
        <w:rPr>
          <w:rFonts w:ascii="仿宋_GB2312" w:hAnsi="仿宋" w:eastAsia="仿宋_GB2312"/>
          <w:sz w:val="28"/>
          <w:szCs w:val="28"/>
        </w:rPr>
        <w:t>信息的私密性以及</w:t>
      </w:r>
      <w:r>
        <w:rPr>
          <w:rFonts w:hint="eastAsia" w:ascii="仿宋_GB2312" w:hAnsi="仿宋" w:eastAsia="仿宋_GB2312"/>
          <w:sz w:val="28"/>
          <w:szCs w:val="28"/>
        </w:rPr>
        <w:t>项目</w:t>
      </w:r>
      <w:r>
        <w:rPr>
          <w:rFonts w:ascii="仿宋_GB2312" w:hAnsi="仿宋" w:eastAsia="仿宋_GB2312"/>
          <w:sz w:val="28"/>
          <w:szCs w:val="28"/>
        </w:rPr>
        <w:t>隐私的保护都有非常严格的要求</w:t>
      </w:r>
      <w:r>
        <w:rPr>
          <w:rFonts w:hint="eastAsia" w:ascii="仿宋_GB2312" w:hAnsi="仿宋" w:eastAsia="仿宋_GB2312"/>
          <w:sz w:val="28"/>
          <w:szCs w:val="28"/>
        </w:rPr>
        <w:t>。</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弹性：计算能力，存储，网络都可以随时根据负载和项目需求变更。</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服务器负载和均衡要求</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云服务器宜采用超微服务器架构和服务器集群设计，该结构可以保证容量的可扩展性，安全性，稳定性。</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（5）服务器安全和维护要求</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云服务器应具备</w:t>
      </w:r>
      <w:r>
        <w:rPr>
          <w:rFonts w:ascii="仿宋_GB2312" w:hAnsi="仿宋" w:eastAsia="仿宋_GB2312"/>
          <w:sz w:val="28"/>
          <w:szCs w:val="28"/>
        </w:rPr>
        <w:t>99</w:t>
      </w:r>
      <w:r>
        <w:rPr>
          <w:rFonts w:hint="eastAsia" w:ascii="仿宋_GB2312" w:hAnsi="仿宋" w:eastAsia="仿宋_GB2312"/>
          <w:sz w:val="28"/>
          <w:szCs w:val="28"/>
        </w:rPr>
        <w:t>.9以上可用性，99.99%以上数据可靠性.</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云服务器应具备容灾备份：多份数据副本，单份损坏可在短时间内快速恢复，用户自定义快照，快速自动故障恢复。</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云服务器应可有效阻止 MAC 欺骗和 ARP 攻击有效防护 DDoS 攻击，可进行流量清洗和黑洞可提供端口入侵扫描、挂马扫描、漏洞扫描。</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维护基本要求</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安全漏洞的检测，根据微软的安全公告及时给操作系统安装补丁。</w:t>
      </w:r>
    </w:p>
    <w:p>
      <w:pPr>
        <w:kinsoku/>
        <w:wordWrap/>
        <w:overflowPunct/>
        <w:bidi w:val="0"/>
        <w:spacing w:line="560" w:lineRule="atLeast"/>
        <w:ind w:firstLine="555"/>
        <w:textAlignment w:val="auto"/>
        <w:rPr>
          <w:rFonts w:ascii="仿宋_GB2312" w:hAnsi="仿宋" w:eastAsia="仿宋_GB2312"/>
          <w:sz w:val="28"/>
          <w:szCs w:val="28"/>
        </w:rPr>
      </w:pPr>
      <w:r>
        <w:rPr>
          <w:rFonts w:hint="eastAsia" w:ascii="仿宋_GB2312" w:hAnsi="仿宋" w:eastAsia="仿宋_GB2312"/>
          <w:sz w:val="28"/>
          <w:szCs w:val="28"/>
        </w:rPr>
        <w:t>每个月对服务器进行不少于1次的远程登录，日志分析和故障排查。日志分析包括系统日志、安全日志和应用程序日志。</w:t>
      </w:r>
    </w:p>
    <w:p>
      <w:pPr>
        <w:kinsoku/>
        <w:wordWrap/>
        <w:overflowPunct/>
        <w:bidi w:val="0"/>
        <w:spacing w:line="560" w:lineRule="atLeast"/>
        <w:ind w:firstLine="555"/>
        <w:textAlignment w:val="auto"/>
        <w:rPr>
          <w:rFonts w:ascii="仿宋_GB2312" w:hAnsi="仿宋" w:eastAsia="仿宋_GB2312" w:cs="Times New Roman"/>
          <w:snapToGrid/>
          <w:kern w:val="2"/>
          <w:sz w:val="28"/>
          <w:szCs w:val="28"/>
        </w:rPr>
      </w:pPr>
      <w:r>
        <w:rPr>
          <w:rFonts w:hint="eastAsia" w:ascii="仿宋_GB2312" w:hAnsi="仿宋" w:eastAsia="仿宋_GB2312"/>
          <w:sz w:val="28"/>
          <w:szCs w:val="28"/>
        </w:rPr>
        <w:t>定期进行数据库备份和系统镜像检查。</w:t>
      </w:r>
    </w:p>
    <w:p>
      <w:pPr>
        <w:pStyle w:val="139"/>
        <w:numPr>
          <w:ilvl w:val="0"/>
          <w:numId w:val="10"/>
        </w:numPr>
        <w:kinsoku/>
        <w:wordWrap/>
        <w:overflowPunct/>
        <w:bidi w:val="0"/>
        <w:spacing w:line="560" w:lineRule="atLeast"/>
        <w:ind w:firstLineChars="0"/>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其他要求</w:t>
      </w:r>
    </w:p>
    <w:p>
      <w:pPr>
        <w:pStyle w:val="139"/>
        <w:widowControl/>
        <w:numPr>
          <w:ilvl w:val="0"/>
          <w:numId w:val="8"/>
        </w:numPr>
        <w:kinsoku/>
        <w:wordWrap/>
        <w:overflowPunct/>
        <w:autoSpaceDE/>
        <w:bidi w:val="0"/>
        <w:spacing w:line="560" w:lineRule="atLeast"/>
        <w:ind w:left="0" w:firstLine="426" w:firstLineChars="0"/>
        <w:jc w:val="left"/>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生产数据对接原则上数据按照以上表格清单统一标准采集，实际采集数据根据各厂站PLC/SCADA和网关的实际情况进行接入。</w:t>
      </w:r>
    </w:p>
    <w:p>
      <w:pPr>
        <w:pStyle w:val="139"/>
        <w:widowControl/>
        <w:numPr>
          <w:ilvl w:val="0"/>
          <w:numId w:val="8"/>
        </w:numPr>
        <w:shd w:val="clear" w:color="auto" w:fill="FFFFFF"/>
        <w:kinsoku/>
        <w:wordWrap/>
        <w:overflowPunct/>
        <w:autoSpaceDE/>
        <w:bidi w:val="0"/>
        <w:spacing w:line="560" w:lineRule="atLeast"/>
        <w:ind w:left="0" w:firstLine="426" w:firstLineChars="0"/>
        <w:jc w:val="left"/>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对接实施工程师入场前，供/净水厂区需提前确认中控软件的OPC服务正常稳定，并配合协调解决中控软件供应商解决中控软件对接时所需的开发密码、OPC服务授权、OPC服务稳定等由于中控软件本身导致的问题。</w:t>
      </w:r>
    </w:p>
    <w:p>
      <w:pPr>
        <w:pStyle w:val="139"/>
        <w:widowControl/>
        <w:numPr>
          <w:ilvl w:val="0"/>
          <w:numId w:val="8"/>
        </w:numPr>
        <w:shd w:val="clear" w:color="auto" w:fill="FFFFFF"/>
        <w:kinsoku/>
        <w:wordWrap/>
        <w:overflowPunct/>
        <w:autoSpaceDE/>
        <w:bidi w:val="0"/>
        <w:spacing w:line="560" w:lineRule="atLeast"/>
        <w:ind w:left="0" w:firstLine="426" w:firstLineChars="0"/>
        <w:jc w:val="left"/>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摄像头根据厂区摄像头配置情况进行对接，各厂区确保监控摄像头的视频信号具备通网条件并已经接入互联网。如果不具备通网条件，厂区提前购买物联网流量卡以确保视频数据接入调试，并确保摄像头的监控视频及对应网络/硬盘录像机设备能以国标GB28181协议接入统一物联网平台。</w:t>
      </w:r>
    </w:p>
    <w:p>
      <w:pPr>
        <w:pStyle w:val="139"/>
        <w:widowControl/>
        <w:numPr>
          <w:ilvl w:val="0"/>
          <w:numId w:val="8"/>
        </w:numPr>
        <w:shd w:val="clear" w:color="auto" w:fill="FFFFFF"/>
        <w:kinsoku/>
        <w:wordWrap/>
        <w:overflowPunct/>
        <w:autoSpaceDE/>
        <w:bidi w:val="0"/>
        <w:spacing w:line="560" w:lineRule="atLeast"/>
        <w:ind w:left="0" w:firstLine="426" w:firstLineChars="0"/>
        <w:jc w:val="left"/>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由于视频设备协议不兼容导致的硬件设备更换，或因厂区不具备通网条件导致的网络整改，由各厂区负责协调第三方供应商进行整改。当厂区具备视频对接条件后通知应标方入场实施，应标方在规定时间内完成视频对接调试工作。</w:t>
      </w:r>
    </w:p>
    <w:p>
      <w:pPr>
        <w:pStyle w:val="139"/>
        <w:widowControl/>
        <w:numPr>
          <w:ilvl w:val="0"/>
          <w:numId w:val="8"/>
        </w:numPr>
        <w:shd w:val="clear" w:color="auto" w:fill="FFFFFF"/>
        <w:kinsoku/>
        <w:wordWrap/>
        <w:overflowPunct/>
        <w:autoSpaceDE/>
        <w:bidi w:val="0"/>
        <w:spacing w:line="560" w:lineRule="atLeast"/>
        <w:ind w:left="0" w:firstLine="426" w:firstLineChars="0"/>
        <w:jc w:val="left"/>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合同签订后</w:t>
      </w:r>
      <w:r>
        <w:rPr>
          <w:rFonts w:ascii="仿宋_GB2312" w:hAnsi="仿宋" w:eastAsia="仿宋_GB2312" w:cs="Times New Roman"/>
          <w:snapToGrid/>
          <w:kern w:val="2"/>
          <w:sz w:val="28"/>
          <w:szCs w:val="28"/>
        </w:rPr>
        <w:t>5</w:t>
      </w:r>
      <w:r>
        <w:rPr>
          <w:rFonts w:hint="eastAsia" w:ascii="仿宋_GB2312" w:hAnsi="仿宋" w:eastAsia="仿宋_GB2312" w:cs="Times New Roman"/>
          <w:snapToGrid/>
          <w:kern w:val="2"/>
          <w:sz w:val="28"/>
          <w:szCs w:val="28"/>
        </w:rPr>
        <w:t>个工作日完成所有厂站的数据对接、清洗和上传。一年内免费接入区域内P</w:t>
      </w:r>
      <w:r>
        <w:rPr>
          <w:rFonts w:ascii="仿宋_GB2312" w:hAnsi="仿宋" w:eastAsia="仿宋_GB2312" w:cs="Times New Roman"/>
          <w:snapToGrid/>
          <w:kern w:val="2"/>
          <w:sz w:val="28"/>
          <w:szCs w:val="28"/>
        </w:rPr>
        <w:t>LC/SCADA</w:t>
      </w:r>
      <w:r>
        <w:rPr>
          <w:rFonts w:hint="eastAsia" w:ascii="仿宋_GB2312" w:hAnsi="仿宋" w:eastAsia="仿宋_GB2312" w:cs="Times New Roman"/>
          <w:snapToGrid/>
          <w:kern w:val="2"/>
          <w:sz w:val="28"/>
          <w:szCs w:val="28"/>
        </w:rPr>
        <w:t>新增设备数据。</w:t>
      </w:r>
    </w:p>
    <w:p>
      <w:pPr>
        <w:pStyle w:val="139"/>
        <w:widowControl/>
        <w:numPr>
          <w:ilvl w:val="0"/>
          <w:numId w:val="8"/>
        </w:numPr>
        <w:shd w:val="clear" w:color="auto" w:fill="FFFFFF"/>
        <w:kinsoku/>
        <w:wordWrap/>
        <w:overflowPunct/>
        <w:autoSpaceDE/>
        <w:bidi w:val="0"/>
        <w:spacing w:line="560" w:lineRule="atLeast"/>
        <w:ind w:left="0" w:firstLine="426" w:firstLineChars="0"/>
        <w:jc w:val="left"/>
        <w:textAlignment w:val="auto"/>
        <w:rPr>
          <w:rFonts w:ascii="仿宋_GB2312" w:hAnsi="仿宋" w:eastAsia="仿宋_GB2312" w:cs="Times New Roman"/>
          <w:snapToGrid/>
          <w:kern w:val="2"/>
          <w:sz w:val="28"/>
          <w:szCs w:val="28"/>
        </w:rPr>
      </w:pPr>
      <w:r>
        <w:rPr>
          <w:rFonts w:hint="eastAsia" w:ascii="仿宋_GB2312" w:hAnsi="仿宋" w:eastAsia="仿宋_GB2312" w:cs="Times New Roman"/>
          <w:snapToGrid/>
          <w:kern w:val="2"/>
          <w:sz w:val="28"/>
          <w:szCs w:val="28"/>
        </w:rPr>
        <w:t>O</w:t>
      </w:r>
      <w:r>
        <w:rPr>
          <w:rFonts w:ascii="仿宋_GB2312" w:hAnsi="仿宋" w:eastAsia="仿宋_GB2312" w:cs="Times New Roman"/>
          <w:snapToGrid/>
          <w:kern w:val="2"/>
          <w:sz w:val="28"/>
          <w:szCs w:val="28"/>
        </w:rPr>
        <w:t>PC</w:t>
      </w:r>
      <w:r>
        <w:rPr>
          <w:rFonts w:hint="eastAsia" w:ascii="仿宋_GB2312" w:hAnsi="仿宋" w:eastAsia="仿宋_GB2312" w:cs="Times New Roman"/>
          <w:snapToGrid/>
          <w:kern w:val="2"/>
          <w:sz w:val="28"/>
          <w:szCs w:val="28"/>
        </w:rPr>
        <w:t>设备需要包括1年物联网卡通讯流量费用，全年总计使用通讯流量不少于6</w:t>
      </w:r>
      <w:r>
        <w:rPr>
          <w:rFonts w:ascii="仿宋_GB2312" w:hAnsi="仿宋" w:eastAsia="仿宋_GB2312" w:cs="Times New Roman"/>
          <w:snapToGrid/>
          <w:kern w:val="2"/>
          <w:sz w:val="28"/>
          <w:szCs w:val="28"/>
        </w:rPr>
        <w:t>G</w:t>
      </w:r>
      <w:r>
        <w:rPr>
          <w:rFonts w:hint="eastAsia" w:ascii="仿宋_GB2312" w:hAnsi="仿宋" w:eastAsia="仿宋_GB2312" w:cs="Times New Roman"/>
          <w:snapToGrid/>
          <w:kern w:val="2"/>
          <w:sz w:val="28"/>
          <w:szCs w:val="28"/>
        </w:rPr>
        <w:t>。</w:t>
      </w:r>
    </w:p>
    <w:p>
      <w:pPr>
        <w:pStyle w:val="3"/>
        <w:pageBreakBefore/>
        <w:numPr>
          <w:ilvl w:val="0"/>
          <w:numId w:val="0"/>
        </w:numPr>
        <w:kinsoku/>
        <w:wordWrap/>
        <w:overflowPunct/>
        <w:bidi w:val="0"/>
        <w:spacing w:line="560" w:lineRule="atLeast"/>
        <w:jc w:val="center"/>
        <w:textAlignment w:val="auto"/>
      </w:pPr>
      <w:r>
        <w:rPr>
          <w:rFonts w:hint="eastAsia"/>
        </w:rPr>
        <w:t>第四部分  竞争性谈判响应文件格式</w:t>
      </w:r>
      <w:bookmarkEnd w:id="22"/>
    </w:p>
    <w:p>
      <w:pPr>
        <w:pStyle w:val="2"/>
        <w:kinsoku/>
        <w:wordWrap/>
        <w:overflowPunct/>
        <w:bidi w:val="0"/>
        <w:spacing w:line="560" w:lineRule="atLeast"/>
        <w:textAlignment w:val="auto"/>
      </w:pPr>
      <w:bookmarkStart w:id="23" w:name="_Toc15007"/>
      <w:bookmarkStart w:id="24" w:name="_Toc19559"/>
      <w:r>
        <w:rPr>
          <w:rFonts w:hint="eastAsia"/>
        </w:rPr>
        <w:t>一、资格证明文件</w:t>
      </w:r>
      <w:bookmarkEnd w:id="23"/>
      <w:bookmarkEnd w:id="24"/>
    </w:p>
    <w:p>
      <w:pPr>
        <w:tabs>
          <w:tab w:val="left" w:pos="720"/>
          <w:tab w:val="left" w:pos="840"/>
        </w:tabs>
        <w:kinsoku/>
        <w:wordWrap/>
        <w:overflowPunct/>
        <w:bidi w:val="0"/>
        <w:spacing w:line="560" w:lineRule="atLeast"/>
        <w:textAlignment w:val="auto"/>
        <w:outlineLvl w:val="2"/>
        <w:rPr>
          <w:rFonts w:hint="eastAsia" w:ascii="仿宋" w:hAnsi="仿宋" w:eastAsia="仿宋" w:cs="仿宋"/>
          <w:sz w:val="28"/>
          <w:szCs w:val="28"/>
        </w:rPr>
      </w:pPr>
      <w:r>
        <w:rPr>
          <w:rFonts w:hint="eastAsia" w:ascii="仿宋" w:hAnsi="仿宋" w:eastAsia="仿宋" w:cs="仿宋"/>
          <w:sz w:val="28"/>
          <w:szCs w:val="28"/>
        </w:rPr>
        <w:t>（一）资格证明文件封面格式</w:t>
      </w:r>
    </w:p>
    <w:p>
      <w:pPr>
        <w:pStyle w:val="56"/>
        <w:kinsoku/>
        <w:wordWrap/>
        <w:overflowPunct/>
        <w:bidi w:val="0"/>
        <w:spacing w:before="0" w:after="0" w:line="560" w:lineRule="atLeast"/>
        <w:ind w:left="1386"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s="仿宋"/>
          <w:bCs/>
          <w:color w:val="000000" w:themeColor="text1"/>
          <w:sz w:val="28"/>
          <w:szCs w:val="28"/>
          <w14:textFill>
            <w14:solidFill>
              <w14:schemeClr w14:val="tx1"/>
            </w14:solidFill>
          </w14:textFill>
        </w:rPr>
        <w:t>南部县国润排水有限公司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仪陇国润排水有限公司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南充国润排水有限公司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南充国润荆溪排水有限公司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遂宁国润排水有限公司</w:t>
      </w:r>
      <w:bookmarkStart w:id="39" w:name="_GoBack"/>
      <w:bookmarkEnd w:id="39"/>
    </w:p>
    <w:p>
      <w:pPr>
        <w:pStyle w:val="56"/>
        <w:kinsoku/>
        <w:wordWrap/>
        <w:overflowPunct/>
        <w:bidi w:val="0"/>
        <w:spacing w:before="0" w:after="0" w:line="560" w:lineRule="atLeast"/>
        <w:ind w:left="-63" w:leftChars="-30" w:firstLine="560" w:firstLineChars="200"/>
        <w:textAlignment w:val="auto"/>
        <w:rPr>
          <w:rFonts w:ascii="仿宋_GB2312" w:hAnsi="仿宋" w:eastAsia="仿宋_GB2312"/>
        </w:rPr>
      </w:pPr>
    </w:p>
    <w:p>
      <w:pPr>
        <w:kinsoku/>
        <w:wordWrap/>
        <w:overflowPunct/>
        <w:bidi w:val="0"/>
        <w:spacing w:line="560" w:lineRule="atLeast"/>
        <w:ind w:left="-420" w:leftChars="-200"/>
        <w:jc w:val="center"/>
        <w:textAlignment w:val="auto"/>
        <w:rPr>
          <w:rFonts w:ascii="仿宋_GB2312" w:hAnsi="仿宋" w:eastAsia="仿宋_GB2312"/>
          <w:sz w:val="72"/>
          <w:szCs w:val="72"/>
        </w:rPr>
      </w:pPr>
      <w:r>
        <w:rPr>
          <w:rFonts w:hint="eastAsia" w:ascii="仿宋_GB2312" w:hAnsi="仿宋" w:eastAsia="仿宋_GB2312"/>
          <w:sz w:val="72"/>
          <w:szCs w:val="72"/>
        </w:rPr>
        <w:t>资格证明文件</w:t>
      </w:r>
    </w:p>
    <w:p>
      <w:pPr>
        <w:kinsoku/>
        <w:wordWrap/>
        <w:overflowPunct/>
        <w:bidi w:val="0"/>
        <w:spacing w:line="560" w:lineRule="atLeast"/>
        <w:ind w:left="-420" w:leftChars="-200" w:firstLine="1820" w:firstLineChars="650"/>
        <w:textAlignment w:val="auto"/>
        <w:rPr>
          <w:rFonts w:ascii="仿宋_GB2312" w:hAnsi="仿宋" w:eastAsia="仿宋_GB2312"/>
          <w:sz w:val="28"/>
          <w:szCs w:val="28"/>
        </w:rPr>
      </w:pPr>
    </w:p>
    <w:p>
      <w:pPr>
        <w:kinsoku/>
        <w:wordWrap/>
        <w:overflowPunct/>
        <w:bidi w:val="0"/>
        <w:spacing w:line="560" w:lineRule="atLeast"/>
        <w:ind w:left="-420" w:leftChars="-200" w:firstLine="1820" w:firstLineChars="650"/>
        <w:textAlignment w:val="auto"/>
        <w:rPr>
          <w:rFonts w:ascii="仿宋_GB2312" w:hAnsi="仿宋" w:eastAsia="仿宋_GB2312"/>
          <w:sz w:val="28"/>
          <w:szCs w:val="28"/>
        </w:rPr>
      </w:pPr>
      <w:r>
        <w:rPr>
          <w:rFonts w:hint="eastAsia" w:ascii="仿宋_GB2312" w:hAnsi="仿宋" w:eastAsia="仿宋_GB2312"/>
          <w:sz w:val="28"/>
          <w:szCs w:val="28"/>
        </w:rPr>
        <w:t>项目编号：</w:t>
      </w:r>
    </w:p>
    <w:p>
      <w:pPr>
        <w:kinsoku/>
        <w:wordWrap/>
        <w:overflowPunct/>
        <w:bidi w:val="0"/>
        <w:spacing w:line="560" w:lineRule="atLeast"/>
        <w:ind w:left="-420" w:leftChars="-200" w:firstLine="1820" w:firstLineChars="650"/>
        <w:textAlignment w:val="auto"/>
        <w:rPr>
          <w:rFonts w:ascii="仿宋_GB2312" w:hAnsi="仿宋" w:eastAsia="仿宋_GB2312"/>
          <w:sz w:val="28"/>
          <w:szCs w:val="28"/>
        </w:rPr>
      </w:pPr>
      <w:r>
        <w:rPr>
          <w:rFonts w:hint="eastAsia" w:ascii="仿宋_GB2312" w:hAnsi="仿宋" w:eastAsia="仿宋_GB2312"/>
          <w:sz w:val="28"/>
          <w:szCs w:val="28"/>
        </w:rPr>
        <w:t>项目名称：</w:t>
      </w: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r>
        <w:rPr>
          <w:rFonts w:hint="eastAsia" w:ascii="仿宋_GB2312" w:hAnsi="仿宋" w:eastAsia="仿宋_GB2312"/>
          <w:sz w:val="28"/>
          <w:szCs w:val="28"/>
        </w:rPr>
        <w:t>法定代表人或授权代理人签字：</w:t>
      </w:r>
    </w:p>
    <w:p>
      <w:pPr>
        <w:kinsoku/>
        <w:wordWrap/>
        <w:overflowPunct/>
        <w:bidi w:val="0"/>
        <w:spacing w:line="560" w:lineRule="atLeast"/>
        <w:ind w:firstLine="2520" w:firstLineChars="900"/>
        <w:textAlignment w:val="auto"/>
        <w:rPr>
          <w:rFonts w:ascii="仿宋_GB2312" w:hAnsi="仿宋" w:eastAsia="仿宋_GB2312"/>
          <w:sz w:val="28"/>
          <w:szCs w:val="28"/>
        </w:rPr>
      </w:pPr>
    </w:p>
    <w:p>
      <w:pPr>
        <w:kinsoku/>
        <w:wordWrap/>
        <w:overflowPunct/>
        <w:bidi w:val="0"/>
        <w:spacing w:line="560" w:lineRule="atLeast"/>
        <w:ind w:firstLine="2520" w:firstLineChars="900"/>
        <w:textAlignment w:val="auto"/>
        <w:rPr>
          <w:rFonts w:ascii="仿宋_GB2312" w:hAnsi="仿宋" w:eastAsia="仿宋_GB2312"/>
          <w:sz w:val="28"/>
          <w:szCs w:val="28"/>
        </w:rPr>
      </w:pPr>
      <w:r>
        <w:rPr>
          <w:rFonts w:hint="eastAsia" w:ascii="仿宋_GB2312" w:hAnsi="仿宋" w:eastAsia="仿宋_GB2312"/>
          <w:sz w:val="28"/>
          <w:szCs w:val="28"/>
        </w:rPr>
        <w:t>供应商名称并盖公章：</w:t>
      </w: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r>
        <w:rPr>
          <w:rFonts w:hint="eastAsia" w:ascii="仿宋_GB2312" w:hAnsi="仿宋" w:eastAsia="仿宋_GB2312"/>
          <w:sz w:val="28"/>
          <w:szCs w:val="28"/>
        </w:rPr>
        <w:t>年     月      日</w:t>
      </w:r>
    </w:p>
    <w:p>
      <w:pPr>
        <w:tabs>
          <w:tab w:val="left" w:pos="720"/>
          <w:tab w:val="left" w:pos="840"/>
        </w:tabs>
        <w:kinsoku/>
        <w:wordWrap/>
        <w:overflowPunct/>
        <w:bidi w:val="0"/>
        <w:spacing w:line="560" w:lineRule="atLeast"/>
        <w:textAlignment w:val="auto"/>
        <w:outlineLvl w:val="2"/>
        <w:rPr>
          <w:rFonts w:hint="eastAsia" w:ascii="仿宋" w:hAnsi="仿宋" w:eastAsia="仿宋" w:cs="仿宋"/>
          <w:sz w:val="28"/>
          <w:szCs w:val="28"/>
        </w:rPr>
      </w:pPr>
      <w:r>
        <w:rPr>
          <w:rFonts w:ascii="仿宋_GB2312" w:hAnsi="仿宋" w:eastAsia="仿宋_GB2312"/>
          <w:sz w:val="28"/>
          <w:szCs w:val="28"/>
        </w:rPr>
        <w:br w:type="page"/>
      </w:r>
      <w:bookmarkStart w:id="25" w:name="_Toc393872360"/>
      <w:bookmarkStart w:id="26" w:name="_Toc387061859"/>
      <w:r>
        <w:rPr>
          <w:rFonts w:hint="eastAsia" w:ascii="仿宋" w:hAnsi="仿宋" w:eastAsia="仿宋" w:cs="仿宋"/>
          <w:sz w:val="28"/>
          <w:szCs w:val="28"/>
        </w:rPr>
        <w:t>（二）</w:t>
      </w:r>
      <w:bookmarkEnd w:id="25"/>
      <w:bookmarkEnd w:id="26"/>
      <w:r>
        <w:rPr>
          <w:rFonts w:hint="eastAsia" w:ascii="仿宋" w:hAnsi="仿宋" w:eastAsia="仿宋" w:cs="仿宋"/>
          <w:sz w:val="28"/>
          <w:szCs w:val="28"/>
        </w:rPr>
        <w:t>承诺书</w:t>
      </w:r>
    </w:p>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sz w:val="28"/>
          <w:szCs w:val="28"/>
        </w:rPr>
        <w:t>承  诺  书（样表）</w:t>
      </w:r>
    </w:p>
    <w:p>
      <w:pPr>
        <w:pStyle w:val="56"/>
        <w:kinsoku/>
        <w:wordWrap/>
        <w:overflowPunct/>
        <w:bidi w:val="0"/>
        <w:spacing w:before="0" w:after="0" w:line="560" w:lineRule="atLeast"/>
        <w:ind w:left="1386"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南部县国润排水有限公司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仪陇国润排水有限公司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南充国润排水有限公司</w:t>
      </w:r>
    </w:p>
    <w:p>
      <w:pPr>
        <w:pStyle w:val="56"/>
        <w:kinsoku/>
        <w:wordWrap/>
        <w:overflowPunct/>
        <w:bidi w:val="0"/>
        <w:spacing w:before="0" w:after="0" w:line="560" w:lineRule="atLeast"/>
        <w:ind w:left="1386"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南充国润荆溪排水有限公司</w:t>
      </w:r>
    </w:p>
    <w:p>
      <w:pPr>
        <w:pStyle w:val="56"/>
        <w:kinsoku/>
        <w:wordWrap/>
        <w:overflowPunct/>
        <w:bidi w:val="0"/>
        <w:spacing w:before="0" w:after="0" w:line="560" w:lineRule="atLeast"/>
        <w:ind w:left="1386"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遂宁国润排水有限公司</w:t>
      </w:r>
    </w:p>
    <w:p>
      <w:pPr>
        <w:kinsoku/>
        <w:wordWrap/>
        <w:overflowPunct/>
        <w:bidi w:val="0"/>
        <w:spacing w:line="560" w:lineRule="atLeast"/>
        <w:ind w:firstLine="560"/>
        <w:textAlignment w:val="auto"/>
        <w:rPr>
          <w:rFonts w:ascii="仿宋_GB2312" w:hAnsi="仿宋" w:eastAsia="仿宋_GB2312"/>
          <w:sz w:val="28"/>
          <w:u w:val="single"/>
        </w:rPr>
      </w:pPr>
      <w:r>
        <w:rPr>
          <w:rFonts w:hint="eastAsia" w:ascii="仿宋_GB2312" w:hAnsi="仿宋" w:eastAsia="仿宋_GB2312"/>
          <w:sz w:val="28"/>
        </w:rPr>
        <w:t>根据贵方关于</w:t>
      </w:r>
      <w:r>
        <w:rPr>
          <w:rFonts w:hint="eastAsia" w:ascii="仿宋_GB2312" w:hAnsi="仿宋" w:eastAsia="仿宋_GB2312"/>
          <w:b/>
          <w:sz w:val="28"/>
          <w:u w:val="single"/>
        </w:rPr>
        <w:t xml:space="preserve">                 </w:t>
      </w:r>
      <w:r>
        <w:rPr>
          <w:rFonts w:hint="eastAsia" w:ascii="仿宋_GB2312" w:hAnsi="仿宋" w:eastAsia="仿宋_GB2312"/>
          <w:b/>
          <w:sz w:val="28"/>
        </w:rPr>
        <w:t xml:space="preserve"> (项目名称)</w:t>
      </w:r>
      <w:r>
        <w:rPr>
          <w:rFonts w:hint="eastAsia" w:ascii="仿宋_GB2312" w:hAnsi="仿宋" w:eastAsia="仿宋_GB2312"/>
          <w:sz w:val="28"/>
        </w:rPr>
        <w:t>的竞争性谈判文件的要求，我单位正式授权</w:t>
      </w:r>
      <w:r>
        <w:rPr>
          <w:rFonts w:hint="eastAsia" w:ascii="仿宋_GB2312" w:hAnsi="仿宋" w:eastAsia="仿宋_GB2312"/>
          <w:sz w:val="28"/>
          <w:u w:val="single"/>
        </w:rPr>
        <w:t xml:space="preserve">         </w:t>
      </w:r>
      <w:r>
        <w:rPr>
          <w:rFonts w:hint="eastAsia" w:ascii="仿宋_GB2312" w:hAnsi="仿宋" w:eastAsia="仿宋_GB2312"/>
          <w:sz w:val="28"/>
        </w:rPr>
        <w:t>为全权代表，参加贵方组织的</w:t>
      </w:r>
      <w:r>
        <w:rPr>
          <w:rFonts w:hint="eastAsia" w:ascii="仿宋_GB2312" w:hAnsi="仿宋" w:eastAsia="仿宋_GB2312"/>
          <w:sz w:val="28"/>
          <w:u w:val="single"/>
        </w:rPr>
        <w:t xml:space="preserve">            </w:t>
      </w:r>
    </w:p>
    <w:p>
      <w:pPr>
        <w:kinsoku/>
        <w:wordWrap/>
        <w:overflowPunct/>
        <w:bidi w:val="0"/>
        <w:spacing w:line="560" w:lineRule="atLeast"/>
        <w:textAlignment w:val="auto"/>
        <w:rPr>
          <w:rFonts w:ascii="仿宋_GB2312" w:hAnsi="仿宋" w:eastAsia="仿宋_GB2312"/>
          <w:sz w:val="28"/>
        </w:rPr>
      </w:pPr>
      <w:r>
        <w:rPr>
          <w:rFonts w:hint="eastAsia" w:ascii="仿宋_GB2312" w:hAnsi="仿宋" w:eastAsia="仿宋_GB2312"/>
          <w:b/>
          <w:sz w:val="28"/>
        </w:rPr>
        <w:t>（项目名称）</w:t>
      </w:r>
      <w:r>
        <w:rPr>
          <w:rFonts w:hint="eastAsia" w:ascii="仿宋_GB2312" w:hAnsi="仿宋" w:eastAsia="仿宋_GB2312"/>
          <w:sz w:val="28"/>
        </w:rPr>
        <w:t>竞争性谈判活动，作出以下承诺：</w:t>
      </w:r>
    </w:p>
    <w:p>
      <w:pPr>
        <w:pStyle w:val="92"/>
        <w:kinsoku/>
        <w:wordWrap/>
        <w:overflowPunct/>
        <w:bidi w:val="0"/>
        <w:spacing w:line="560" w:lineRule="atLeast"/>
        <w:ind w:firstLine="560" w:firstLineChars="200"/>
        <w:jc w:val="both"/>
        <w:textAlignment w:val="auto"/>
        <w:rPr>
          <w:rFonts w:cs="Arial"/>
          <w:b w:val="0"/>
          <w:kern w:val="2"/>
          <w:sz w:val="28"/>
          <w:szCs w:val="24"/>
        </w:rPr>
      </w:pPr>
      <w:r>
        <w:rPr>
          <w:rFonts w:hint="eastAsia" w:cs="Arial"/>
          <w:b w:val="0"/>
          <w:kern w:val="2"/>
          <w:sz w:val="28"/>
          <w:szCs w:val="24"/>
        </w:rPr>
        <w:t>1.提交的所有文件、资格、证明、陈述、数据均是真实的和准确的。若存在任何与提供的资料不符的情况，我公司愿为由此产生的一切后果负责。</w:t>
      </w:r>
    </w:p>
    <w:p>
      <w:pPr>
        <w:tabs>
          <w:tab w:val="left" w:pos="945"/>
          <w:tab w:val="left" w:pos="1260"/>
        </w:tabs>
        <w:kinsoku/>
        <w:wordWrap/>
        <w:overflowPunct/>
        <w:bidi w:val="0"/>
        <w:spacing w:line="560" w:lineRule="atLeast"/>
        <w:ind w:firstLine="560" w:firstLineChars="200"/>
        <w:textAlignment w:val="auto"/>
        <w:rPr>
          <w:rFonts w:ascii="仿宋_GB2312" w:hAnsi="仿宋" w:eastAsia="仿宋_GB2312"/>
          <w:sz w:val="28"/>
        </w:rPr>
      </w:pPr>
      <w:r>
        <w:rPr>
          <w:rFonts w:hint="eastAsia" w:ascii="仿宋_GB2312" w:hAnsi="仿宋" w:eastAsia="仿宋_GB2312"/>
          <w:sz w:val="28"/>
        </w:rPr>
        <w:t>2.完全满足竞争性谈判文件中全部实质性要求。</w:t>
      </w:r>
    </w:p>
    <w:p>
      <w:pPr>
        <w:tabs>
          <w:tab w:val="left" w:pos="945"/>
          <w:tab w:val="left" w:pos="1260"/>
        </w:tabs>
        <w:kinsoku/>
        <w:wordWrap/>
        <w:overflowPunct/>
        <w:bidi w:val="0"/>
        <w:spacing w:line="560" w:lineRule="atLeast"/>
        <w:ind w:firstLine="560" w:firstLineChars="200"/>
        <w:textAlignment w:val="auto"/>
        <w:rPr>
          <w:rFonts w:ascii="仿宋_GB2312" w:hAnsi="仿宋" w:eastAsia="仿宋_GB2312"/>
          <w:sz w:val="28"/>
        </w:rPr>
      </w:pPr>
      <w:r>
        <w:rPr>
          <w:rFonts w:hint="eastAsia" w:ascii="仿宋_GB2312" w:hAnsi="仿宋" w:eastAsia="仿宋_GB2312"/>
          <w:sz w:val="28"/>
        </w:rPr>
        <w:t>3.竞争性谈判响应文件中资格证明文件资料、技术文件、报价文件资料经密封，加盖单位公章和法定代表人或委托代理人签字后递交。</w:t>
      </w:r>
    </w:p>
    <w:p>
      <w:pPr>
        <w:kinsoku/>
        <w:wordWrap/>
        <w:overflowPunct/>
        <w:bidi w:val="0"/>
        <w:spacing w:line="560" w:lineRule="atLeast"/>
        <w:ind w:firstLine="560" w:firstLineChars="200"/>
        <w:textAlignment w:val="auto"/>
        <w:rPr>
          <w:rFonts w:ascii="仿宋_GB2312" w:hAnsi="仿宋" w:eastAsia="仿宋_GB2312"/>
          <w:sz w:val="28"/>
        </w:rPr>
      </w:pPr>
      <w:r>
        <w:rPr>
          <w:rFonts w:hint="eastAsia" w:ascii="仿宋_GB2312" w:hAnsi="仿宋" w:eastAsia="仿宋_GB2312"/>
          <w:sz w:val="28"/>
        </w:rPr>
        <w:t>4.保证遵守竞争性谈判文件中的有关规定。</w:t>
      </w:r>
    </w:p>
    <w:p>
      <w:pPr>
        <w:tabs>
          <w:tab w:val="left" w:pos="1110"/>
        </w:tabs>
        <w:kinsoku/>
        <w:wordWrap/>
        <w:overflowPunct/>
        <w:bidi w:val="0"/>
        <w:spacing w:line="560" w:lineRule="atLeast"/>
        <w:ind w:right="-153" w:rightChars="-73" w:firstLine="560" w:firstLineChars="200"/>
        <w:textAlignment w:val="auto"/>
        <w:rPr>
          <w:rFonts w:ascii="仿宋_GB2312" w:hAnsi="仿宋" w:eastAsia="仿宋_GB2312"/>
          <w:sz w:val="28"/>
        </w:rPr>
      </w:pPr>
      <w:r>
        <w:rPr>
          <w:rFonts w:hint="eastAsia" w:ascii="仿宋_GB2312" w:hAnsi="仿宋" w:eastAsia="仿宋_GB2312"/>
          <w:sz w:val="28"/>
        </w:rPr>
        <w:t>5.保证忠实地执行竞争性谈判双方所签署的经济合同，并承担合同规定的责任义务。</w:t>
      </w:r>
    </w:p>
    <w:p>
      <w:pPr>
        <w:tabs>
          <w:tab w:val="left" w:pos="1110"/>
        </w:tabs>
        <w:kinsoku/>
        <w:wordWrap/>
        <w:overflowPunct/>
        <w:bidi w:val="0"/>
        <w:spacing w:line="560" w:lineRule="atLeast"/>
        <w:ind w:firstLine="560" w:firstLineChars="200"/>
        <w:textAlignment w:val="auto"/>
        <w:rPr>
          <w:rFonts w:ascii="仿宋_GB2312" w:hAnsi="仿宋" w:eastAsia="仿宋_GB2312"/>
          <w:sz w:val="28"/>
        </w:rPr>
      </w:pPr>
      <w:r>
        <w:rPr>
          <w:rFonts w:hint="eastAsia" w:ascii="仿宋_GB2312" w:hAnsi="仿宋" w:eastAsia="仿宋_GB2312"/>
          <w:sz w:val="28"/>
        </w:rPr>
        <w:t>6.愿意向贵方提供任何与该项目报价有关的数据、情况和技术资料。</w:t>
      </w:r>
    </w:p>
    <w:p>
      <w:pPr>
        <w:tabs>
          <w:tab w:val="left" w:pos="1110"/>
        </w:tabs>
        <w:kinsoku/>
        <w:wordWrap/>
        <w:overflowPunct/>
        <w:bidi w:val="0"/>
        <w:spacing w:line="560" w:lineRule="atLeast"/>
        <w:ind w:firstLine="560" w:firstLineChars="200"/>
        <w:textAlignment w:val="auto"/>
        <w:rPr>
          <w:rFonts w:ascii="仿宋_GB2312" w:hAnsi="仿宋" w:eastAsia="仿宋_GB2312"/>
          <w:sz w:val="28"/>
        </w:rPr>
      </w:pPr>
      <w:r>
        <w:rPr>
          <w:rFonts w:hint="eastAsia" w:ascii="仿宋_GB2312" w:hAnsi="仿宋" w:eastAsia="仿宋_GB2312"/>
          <w:sz w:val="28"/>
        </w:rPr>
        <w:t>7.我们已详细审核全部竞争性谈判文件、参考资料及有关附件，我们知道必须放弃提出含糊不清或误解问题的权利。</w:t>
      </w:r>
    </w:p>
    <w:p>
      <w:pPr>
        <w:tabs>
          <w:tab w:val="left" w:pos="1110"/>
        </w:tabs>
        <w:kinsoku/>
        <w:wordWrap/>
        <w:overflowPunct/>
        <w:bidi w:val="0"/>
        <w:spacing w:line="560" w:lineRule="atLeast"/>
        <w:ind w:firstLine="560" w:firstLineChars="200"/>
        <w:textAlignment w:val="auto"/>
        <w:rPr>
          <w:rFonts w:ascii="仿宋_GB2312" w:hAnsi="仿宋" w:eastAsia="仿宋_GB2312"/>
          <w:sz w:val="28"/>
        </w:rPr>
      </w:pPr>
      <w:r>
        <w:rPr>
          <w:rFonts w:hint="eastAsia" w:ascii="仿宋_GB2312" w:hAnsi="仿宋" w:eastAsia="仿宋_GB2312"/>
          <w:sz w:val="28"/>
        </w:rPr>
        <w:t>8.我们完全理解贵方不一定接受最低报价或收到的任何报价。</w:t>
      </w:r>
    </w:p>
    <w:p>
      <w:pPr>
        <w:tabs>
          <w:tab w:val="left" w:pos="1110"/>
        </w:tabs>
        <w:kinsoku/>
        <w:wordWrap/>
        <w:overflowPunct/>
        <w:bidi w:val="0"/>
        <w:spacing w:line="560" w:lineRule="atLeast"/>
        <w:ind w:firstLine="560" w:firstLineChars="200"/>
        <w:textAlignment w:val="auto"/>
        <w:rPr>
          <w:rFonts w:ascii="仿宋_GB2312" w:eastAsia="仿宋_GB2312" w:cs="Arial"/>
          <w:sz w:val="28"/>
        </w:rPr>
      </w:pPr>
      <w:r>
        <w:rPr>
          <w:rFonts w:hint="eastAsia" w:ascii="仿宋_GB2312" w:hAnsi="仿宋" w:eastAsia="仿宋_GB2312"/>
          <w:sz w:val="28"/>
        </w:rPr>
        <w:t>9.</w:t>
      </w:r>
      <w:r>
        <w:rPr>
          <w:rFonts w:hint="eastAsia" w:ascii="仿宋_GB2312" w:eastAsia="仿宋_GB2312" w:cs="Arial"/>
          <w:sz w:val="28"/>
        </w:rPr>
        <w:t>我公司承诺不将本项目转包或分包给其他任何机构。</w:t>
      </w:r>
    </w:p>
    <w:p>
      <w:pPr>
        <w:tabs>
          <w:tab w:val="left" w:pos="1110"/>
        </w:tabs>
        <w:kinsoku/>
        <w:wordWrap/>
        <w:overflowPunct/>
        <w:bidi w:val="0"/>
        <w:spacing w:line="560" w:lineRule="atLeast"/>
        <w:ind w:firstLine="560" w:firstLineChars="200"/>
        <w:textAlignment w:val="auto"/>
        <w:rPr>
          <w:rFonts w:ascii="仿宋_GB2312" w:eastAsia="仿宋_GB2312" w:cs="Arial"/>
          <w:sz w:val="28"/>
        </w:rPr>
      </w:pPr>
      <w:r>
        <w:rPr>
          <w:rFonts w:hint="eastAsia" w:ascii="仿宋_GB2312" w:eastAsia="仿宋_GB2312" w:cs="Arial"/>
          <w:sz w:val="28"/>
        </w:rPr>
        <w:t>10.我公司承诺完全响应本竞争性谈判文件所附合同全部条款。</w:t>
      </w:r>
    </w:p>
    <w:p>
      <w:pPr>
        <w:tabs>
          <w:tab w:val="left" w:pos="1110"/>
        </w:tabs>
        <w:kinsoku/>
        <w:wordWrap/>
        <w:overflowPunct/>
        <w:bidi w:val="0"/>
        <w:spacing w:line="560" w:lineRule="atLeast"/>
        <w:ind w:firstLine="560" w:firstLineChars="200"/>
        <w:textAlignment w:val="auto"/>
        <w:rPr>
          <w:rFonts w:ascii="仿宋_GB2312" w:hAnsi="仿宋" w:eastAsia="仿宋_GB2312"/>
          <w:sz w:val="28"/>
        </w:rPr>
      </w:pPr>
    </w:p>
    <w:p>
      <w:pPr>
        <w:kinsoku/>
        <w:wordWrap/>
        <w:overflowPunct/>
        <w:bidi w:val="0"/>
        <w:spacing w:line="560" w:lineRule="atLeast"/>
        <w:ind w:left="525"/>
        <w:textAlignment w:val="auto"/>
        <w:rPr>
          <w:rFonts w:ascii="仿宋_GB2312" w:hAnsi="仿宋" w:eastAsia="仿宋_GB2312"/>
          <w:sz w:val="28"/>
        </w:rPr>
      </w:pPr>
      <w:r>
        <w:rPr>
          <w:rFonts w:hint="eastAsia" w:ascii="仿宋_GB2312" w:hAnsi="仿宋" w:eastAsia="仿宋_GB2312"/>
          <w:sz w:val="28"/>
        </w:rPr>
        <w:t>供应商：</w:t>
      </w:r>
      <w:r>
        <w:rPr>
          <w:rFonts w:hint="eastAsia" w:ascii="仿宋_GB2312" w:hAnsi="宋体" w:eastAsia="仿宋_GB2312" w:cs="Arial"/>
          <w:sz w:val="28"/>
          <w:u w:val="single"/>
        </w:rPr>
        <w:t>（盖公章）</w:t>
      </w:r>
    </w:p>
    <w:p>
      <w:pPr>
        <w:kinsoku/>
        <w:wordWrap/>
        <w:overflowPunct/>
        <w:bidi w:val="0"/>
        <w:spacing w:line="560" w:lineRule="atLeast"/>
        <w:ind w:left="525"/>
        <w:textAlignment w:val="auto"/>
        <w:rPr>
          <w:rFonts w:ascii="仿宋_GB2312" w:hAnsi="仿宋" w:eastAsia="仿宋_GB2312"/>
          <w:sz w:val="28"/>
        </w:rPr>
      </w:pPr>
      <w:r>
        <w:rPr>
          <w:rFonts w:hint="eastAsia" w:ascii="仿宋_GB2312" w:eastAsia="仿宋_GB2312"/>
          <w:sz w:val="28"/>
        </w:rPr>
        <w:t>法定代表人或授权代表：</w:t>
      </w:r>
      <w:r>
        <w:rPr>
          <w:rFonts w:hint="eastAsia" w:ascii="仿宋_GB2312" w:hAnsi="宋体" w:eastAsia="仿宋_GB2312" w:cs="Arial"/>
          <w:sz w:val="28"/>
          <w:u w:val="single"/>
        </w:rPr>
        <w:t xml:space="preserve">（签名）    </w:t>
      </w:r>
    </w:p>
    <w:p>
      <w:pPr>
        <w:kinsoku/>
        <w:wordWrap/>
        <w:overflowPunct/>
        <w:bidi w:val="0"/>
        <w:spacing w:line="560" w:lineRule="atLeast"/>
        <w:ind w:left="525" w:leftChars="250" w:firstLine="4900" w:firstLineChars="1750"/>
        <w:textAlignment w:val="auto"/>
        <w:rPr>
          <w:rFonts w:ascii="仿宋_GB2312" w:hAnsi="宋体" w:eastAsia="仿宋_GB2312"/>
          <w:sz w:val="28"/>
        </w:rPr>
      </w:pPr>
      <w:r>
        <w:rPr>
          <w:rFonts w:hint="eastAsia" w:ascii="仿宋_GB2312" w:hAnsi="仿宋" w:eastAsia="仿宋_GB2312"/>
          <w:sz w:val="28"/>
        </w:rPr>
        <w:t xml:space="preserve">年    月    日 </w:t>
      </w:r>
    </w:p>
    <w:p>
      <w:pPr>
        <w:tabs>
          <w:tab w:val="left" w:pos="720"/>
          <w:tab w:val="left" w:pos="840"/>
        </w:tabs>
        <w:kinsoku/>
        <w:wordWrap/>
        <w:overflowPunct/>
        <w:bidi w:val="0"/>
        <w:spacing w:line="560" w:lineRule="atLeast"/>
        <w:textAlignment w:val="auto"/>
        <w:outlineLvl w:val="2"/>
        <w:rPr>
          <w:rFonts w:ascii="仿宋_GB2312" w:hAnsi="宋体" w:eastAsia="仿宋_GB2312"/>
          <w:sz w:val="28"/>
          <w:szCs w:val="28"/>
        </w:rPr>
      </w:pPr>
      <w:r>
        <w:rPr>
          <w:rFonts w:hint="eastAsia" w:ascii="仿宋_GB2312" w:hAnsi="宋体" w:eastAsia="仿宋_GB2312"/>
          <w:sz w:val="24"/>
        </w:rPr>
        <w:br w:type="page"/>
      </w:r>
      <w:bookmarkStart w:id="27" w:name="_Toc149408926"/>
      <w:bookmarkStart w:id="28" w:name="_Toc245881755"/>
      <w:bookmarkStart w:id="29" w:name="_Toc152579079"/>
      <w:bookmarkStart w:id="30" w:name="_Toc152147285"/>
      <w:bookmarkStart w:id="31" w:name="_Toc152579368"/>
      <w:bookmarkStart w:id="32" w:name="_Toc393872364"/>
      <w:bookmarkStart w:id="33" w:name="_Toc244580483"/>
      <w:bookmarkStart w:id="34" w:name="_Toc152579447"/>
      <w:bookmarkStart w:id="35" w:name="_Toc387061863"/>
      <w:r>
        <w:rPr>
          <w:rFonts w:hint="eastAsia" w:ascii="仿宋_GB2312" w:hAnsi="宋体" w:eastAsia="仿宋_GB2312"/>
          <w:sz w:val="28"/>
          <w:szCs w:val="28"/>
        </w:rPr>
        <w:t>（三）法定代表人身份证明书</w:t>
      </w:r>
    </w:p>
    <w:p>
      <w:pPr>
        <w:tabs>
          <w:tab w:val="left" w:pos="720"/>
          <w:tab w:val="left" w:pos="840"/>
        </w:tabs>
        <w:kinsoku/>
        <w:wordWrap/>
        <w:overflowPunct/>
        <w:bidi w:val="0"/>
        <w:spacing w:line="560" w:lineRule="atLeast"/>
        <w:jc w:val="center"/>
        <w:textAlignment w:val="auto"/>
        <w:rPr>
          <w:rFonts w:ascii="仿宋_GB2312" w:hAnsi="宋体" w:eastAsia="仿宋_GB2312"/>
          <w:sz w:val="28"/>
          <w:szCs w:val="28"/>
        </w:rPr>
      </w:pPr>
      <w:r>
        <w:rPr>
          <w:rFonts w:hint="eastAsia" w:ascii="仿宋_GB2312" w:hAnsi="宋体" w:eastAsia="仿宋_GB2312"/>
          <w:sz w:val="28"/>
          <w:szCs w:val="28"/>
        </w:rPr>
        <w:t>法定代表人身份证明书</w:t>
      </w:r>
    </w:p>
    <w:p>
      <w:pPr>
        <w:tabs>
          <w:tab w:val="left" w:pos="720"/>
          <w:tab w:val="left" w:pos="840"/>
        </w:tabs>
        <w:kinsoku/>
        <w:wordWrap/>
        <w:overflowPunct/>
        <w:bidi w:val="0"/>
        <w:spacing w:line="560" w:lineRule="atLeast"/>
        <w:jc w:val="center"/>
        <w:textAlignment w:val="auto"/>
        <w:rPr>
          <w:rFonts w:ascii="仿宋_GB2312" w:hAnsi="宋体" w:eastAsia="仿宋_GB2312"/>
          <w:sz w:val="28"/>
          <w:szCs w:val="28"/>
        </w:rPr>
      </w:pPr>
    </w:p>
    <w:p>
      <w:pPr>
        <w:kinsoku/>
        <w:wordWrap/>
        <w:overflowPunct/>
        <w:bidi w:val="0"/>
        <w:spacing w:line="560" w:lineRule="atLeast"/>
        <w:ind w:left="1134" w:hanging="1134" w:hangingChars="405"/>
        <w:textAlignment w:val="auto"/>
        <w:rPr>
          <w:rFonts w:ascii="仿宋_GB2312" w:hAnsi="宋体" w:eastAsia="仿宋_GB2312" w:cs="Arial"/>
          <w:sz w:val="28"/>
          <w:szCs w:val="28"/>
          <w:u w:val="single"/>
        </w:rPr>
      </w:pPr>
      <w:r>
        <w:rPr>
          <w:rFonts w:hint="eastAsia" w:ascii="仿宋_GB2312" w:hAnsi="宋体" w:eastAsia="仿宋_GB2312" w:cs="Arial"/>
          <w:sz w:val="28"/>
          <w:szCs w:val="28"/>
        </w:rPr>
        <w:t>供应商名称：</w:t>
      </w:r>
      <w:r>
        <w:rPr>
          <w:rFonts w:hint="eastAsia" w:ascii="仿宋_GB2312" w:hAnsi="宋体" w:eastAsia="仿宋_GB2312" w:cs="Arial"/>
          <w:sz w:val="28"/>
          <w:szCs w:val="28"/>
          <w:u w:val="single"/>
        </w:rPr>
        <w:t xml:space="preserve">                         </w:t>
      </w:r>
    </w:p>
    <w:p>
      <w:pPr>
        <w:kinsoku/>
        <w:wordWrap/>
        <w:overflowPunct/>
        <w:bidi w:val="0"/>
        <w:spacing w:line="560" w:lineRule="atLeast"/>
        <w:ind w:left="1134" w:hanging="1134" w:hangingChars="405"/>
        <w:textAlignment w:val="auto"/>
        <w:rPr>
          <w:rFonts w:ascii="仿宋_GB2312" w:hAnsi="宋体" w:eastAsia="仿宋_GB2312" w:cs="Arial"/>
          <w:sz w:val="28"/>
          <w:szCs w:val="28"/>
        </w:rPr>
      </w:pPr>
      <w:r>
        <w:rPr>
          <w:rFonts w:hint="eastAsia" w:ascii="仿宋_GB2312" w:hAnsi="宋体" w:eastAsia="仿宋_GB2312" w:cs="Arial"/>
          <w:sz w:val="28"/>
          <w:szCs w:val="28"/>
        </w:rPr>
        <w:t>单位性质：</w:t>
      </w:r>
      <w:r>
        <w:rPr>
          <w:rFonts w:hint="eastAsia" w:ascii="仿宋_GB2312" w:hAnsi="宋体" w:eastAsia="仿宋_GB2312" w:cs="Arial"/>
          <w:sz w:val="28"/>
          <w:szCs w:val="28"/>
          <w:u w:val="single"/>
        </w:rPr>
        <w:t xml:space="preserve">                           </w:t>
      </w:r>
    </w:p>
    <w:p>
      <w:pPr>
        <w:kinsoku/>
        <w:wordWrap/>
        <w:overflowPunct/>
        <w:bidi w:val="0"/>
        <w:spacing w:line="560" w:lineRule="atLeast"/>
        <w:ind w:left="1134" w:hanging="1134" w:hangingChars="405"/>
        <w:textAlignment w:val="auto"/>
        <w:rPr>
          <w:rFonts w:ascii="仿宋_GB2312" w:hAnsi="宋体" w:eastAsia="仿宋_GB2312" w:cs="Arial"/>
          <w:sz w:val="28"/>
          <w:szCs w:val="28"/>
        </w:rPr>
      </w:pPr>
      <w:r>
        <w:rPr>
          <w:rFonts w:hint="eastAsia" w:ascii="仿宋_GB2312" w:hAnsi="宋体" w:eastAsia="仿宋_GB2312" w:cs="Arial"/>
          <w:sz w:val="28"/>
          <w:szCs w:val="28"/>
        </w:rPr>
        <w:t>地    址：</w:t>
      </w:r>
      <w:r>
        <w:rPr>
          <w:rFonts w:hint="eastAsia" w:ascii="仿宋_GB2312" w:hAnsi="宋体" w:eastAsia="仿宋_GB2312" w:cs="Arial"/>
          <w:sz w:val="28"/>
          <w:szCs w:val="28"/>
          <w:u w:val="single"/>
        </w:rPr>
        <w:t xml:space="preserve">                           </w:t>
      </w:r>
    </w:p>
    <w:p>
      <w:pPr>
        <w:kinsoku/>
        <w:wordWrap/>
        <w:overflowPunct/>
        <w:bidi w:val="0"/>
        <w:spacing w:line="560" w:lineRule="atLeast"/>
        <w:textAlignment w:val="auto"/>
        <w:rPr>
          <w:rFonts w:ascii="仿宋_GB2312" w:hAnsi="宋体" w:eastAsia="仿宋_GB2312" w:cs="Arial"/>
          <w:sz w:val="28"/>
          <w:szCs w:val="28"/>
        </w:rPr>
      </w:pPr>
      <w:r>
        <w:rPr>
          <w:rFonts w:hint="eastAsia" w:ascii="仿宋_GB2312" w:hAnsi="宋体" w:eastAsia="仿宋_GB2312" w:cs="Arial"/>
          <w:sz w:val="28"/>
          <w:szCs w:val="28"/>
        </w:rPr>
        <w:t>成立时间：</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年</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月</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日</w:t>
      </w:r>
    </w:p>
    <w:p>
      <w:pPr>
        <w:kinsoku/>
        <w:wordWrap/>
        <w:overflowPunct/>
        <w:bidi w:val="0"/>
        <w:spacing w:line="560" w:lineRule="atLeast"/>
        <w:textAlignment w:val="auto"/>
        <w:rPr>
          <w:rFonts w:ascii="仿宋_GB2312" w:hAnsi="宋体" w:eastAsia="仿宋_GB2312" w:cs="Arial"/>
          <w:sz w:val="28"/>
          <w:szCs w:val="28"/>
        </w:rPr>
      </w:pPr>
      <w:r>
        <w:rPr>
          <w:rFonts w:hint="eastAsia" w:ascii="仿宋_GB2312" w:hAnsi="宋体" w:eastAsia="仿宋_GB2312" w:cs="Arial"/>
          <w:sz w:val="28"/>
          <w:szCs w:val="28"/>
        </w:rPr>
        <w:t>姓    名：</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系</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（供应商名称）的法定代表人（职务：</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电话：</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w:t>
      </w:r>
    </w:p>
    <w:p>
      <w:pPr>
        <w:kinsoku/>
        <w:wordWrap/>
        <w:overflowPunct/>
        <w:bidi w:val="0"/>
        <w:spacing w:line="560" w:lineRule="atLeast"/>
        <w:ind w:firstLine="560" w:firstLineChars="200"/>
        <w:textAlignment w:val="auto"/>
        <w:rPr>
          <w:rFonts w:ascii="仿宋_GB2312" w:hAnsi="宋体" w:eastAsia="仿宋_GB2312" w:cs="Arial"/>
          <w:sz w:val="28"/>
          <w:szCs w:val="28"/>
        </w:rPr>
      </w:pPr>
    </w:p>
    <w:p>
      <w:pPr>
        <w:tabs>
          <w:tab w:val="left" w:pos="567"/>
        </w:tabs>
        <w:kinsoku/>
        <w:wordWrap/>
        <w:overflowPunct/>
        <w:bidi w:val="0"/>
        <w:spacing w:line="560" w:lineRule="atLeast"/>
        <w:ind w:left="1061" w:leftChars="232" w:hanging="574" w:hangingChars="205"/>
        <w:textAlignment w:val="auto"/>
        <w:rPr>
          <w:rFonts w:ascii="仿宋_GB2312" w:hAnsi="宋体" w:eastAsia="仿宋_GB2312" w:cs="Arial"/>
          <w:sz w:val="28"/>
          <w:szCs w:val="28"/>
        </w:rPr>
      </w:pPr>
      <w:r>
        <w:rPr>
          <w:rFonts w:hint="eastAsia" w:ascii="仿宋_GB2312" w:hAnsi="宋体" w:eastAsia="仿宋_GB2312" w:cs="Arial"/>
          <w:sz w:val="28"/>
          <w:szCs w:val="28"/>
        </w:rPr>
        <w:t>特此证明。</w:t>
      </w:r>
    </w:p>
    <w:p>
      <w:pPr>
        <w:kinsoku/>
        <w:wordWrap/>
        <w:overflowPunct/>
        <w:bidi w:val="0"/>
        <w:spacing w:line="560" w:lineRule="atLeast"/>
        <w:ind w:left="1061" w:leftChars="232" w:hanging="574" w:hangingChars="205"/>
        <w:textAlignment w:val="auto"/>
        <w:rPr>
          <w:rFonts w:ascii="仿宋_GB2312" w:hAnsi="宋体" w:eastAsia="仿宋_GB2312" w:cs="Arial"/>
          <w:sz w:val="28"/>
          <w:szCs w:val="28"/>
        </w:rPr>
      </w:pPr>
      <w:r>
        <w:rPr>
          <w:rFonts w:hint="eastAsia" w:ascii="仿宋_GB2312" w:hAnsi="宋体" w:eastAsia="仿宋_GB2312" w:cs="Arial"/>
          <w:sz w:val="28"/>
          <w:szCs w:val="28"/>
        </w:rPr>
        <w:t>附：法定代表人身份证复印件</w:t>
      </w:r>
    </w:p>
    <w:p>
      <w:pPr>
        <w:kinsoku/>
        <w:wordWrap/>
        <w:overflowPunct/>
        <w:bidi w:val="0"/>
        <w:spacing w:line="560" w:lineRule="atLeast"/>
        <w:ind w:firstLine="560" w:firstLineChars="200"/>
        <w:textAlignment w:val="auto"/>
        <w:rPr>
          <w:rFonts w:ascii="仿宋_GB2312" w:hAnsi="宋体" w:eastAsia="仿宋_GB2312" w:cs="Arial"/>
          <w:sz w:val="28"/>
          <w:szCs w:val="28"/>
        </w:rPr>
      </w:pPr>
    </w:p>
    <w:p>
      <w:pPr>
        <w:kinsoku/>
        <w:wordWrap/>
        <w:overflowPunct/>
        <w:bidi w:val="0"/>
        <w:spacing w:line="560" w:lineRule="atLeast"/>
        <w:ind w:left="988" w:leftChars="464" w:right="1120" w:hanging="14" w:hangingChars="5"/>
        <w:textAlignment w:val="auto"/>
        <w:rPr>
          <w:rFonts w:ascii="仿宋_GB2312" w:hAnsi="宋体" w:eastAsia="仿宋_GB2312" w:cs="Arial"/>
          <w:sz w:val="28"/>
          <w:szCs w:val="28"/>
        </w:rPr>
      </w:pPr>
      <w:r>
        <w:rPr>
          <w:rFonts w:hint="eastAsia" w:ascii="仿宋_GB2312" w:hAnsi="宋体" w:eastAsia="仿宋_GB2312" w:cs="Arial"/>
          <w:sz w:val="28"/>
          <w:szCs w:val="28"/>
        </w:rPr>
        <w:t>供应商：</w:t>
      </w:r>
      <w:r>
        <w:rPr>
          <w:rFonts w:hint="eastAsia" w:ascii="仿宋_GB2312" w:hAnsi="宋体" w:eastAsia="仿宋_GB2312" w:cs="Arial"/>
          <w:sz w:val="28"/>
          <w:szCs w:val="28"/>
          <w:u w:val="single"/>
        </w:rPr>
        <w:t>（盖公章）</w:t>
      </w:r>
    </w:p>
    <w:p>
      <w:pPr>
        <w:kinsoku/>
        <w:wordWrap/>
        <w:overflowPunct/>
        <w:bidi w:val="0"/>
        <w:spacing w:line="560" w:lineRule="atLeast"/>
        <w:ind w:firstLine="560" w:firstLineChars="200"/>
        <w:jc w:val="right"/>
        <w:textAlignment w:val="auto"/>
        <w:rPr>
          <w:rFonts w:ascii="仿宋_GB2312" w:hAnsi="宋体" w:eastAsia="仿宋_GB2312" w:cs="Arial"/>
          <w:sz w:val="28"/>
          <w:szCs w:val="28"/>
        </w:rPr>
      </w:pPr>
      <w:r>
        <w:rPr>
          <w:rFonts w:hint="eastAsia" w:ascii="仿宋_GB2312" w:hAnsi="宋体" w:eastAsia="仿宋_GB2312" w:cs="Arial"/>
          <w:sz w:val="28"/>
          <w:szCs w:val="28"/>
        </w:rPr>
        <w:t>年     月    日</w:t>
      </w:r>
    </w:p>
    <w:p>
      <w:pPr>
        <w:kinsoku/>
        <w:wordWrap/>
        <w:overflowPunct/>
        <w:bidi w:val="0"/>
        <w:spacing w:line="560" w:lineRule="atLeast"/>
        <w:ind w:firstLine="560" w:firstLineChars="200"/>
        <w:textAlignment w:val="auto"/>
        <w:rPr>
          <w:rFonts w:ascii="仿宋_GB2312" w:hAnsi="宋体" w:eastAsia="仿宋_GB2312" w:cs="Arial"/>
          <w:sz w:val="28"/>
          <w:szCs w:val="28"/>
        </w:rPr>
      </w:pPr>
    </w:p>
    <w:p>
      <w:pPr>
        <w:tabs>
          <w:tab w:val="left" w:pos="720"/>
          <w:tab w:val="left" w:pos="840"/>
        </w:tabs>
        <w:kinsoku/>
        <w:wordWrap/>
        <w:overflowPunct/>
        <w:bidi w:val="0"/>
        <w:spacing w:line="560" w:lineRule="atLeast"/>
        <w:jc w:val="left"/>
        <w:textAlignment w:val="auto"/>
        <w:outlineLvl w:val="2"/>
        <w:rPr>
          <w:rFonts w:hint="eastAsia" w:ascii="仿宋" w:hAnsi="仿宋" w:eastAsia="仿宋" w:cs="仿宋"/>
          <w:b/>
          <w:sz w:val="28"/>
          <w:szCs w:val="28"/>
        </w:rPr>
      </w:pPr>
      <w:r>
        <w:rPr>
          <w:rFonts w:ascii="仿宋_GB2312" w:hAnsi="宋体" w:eastAsia="仿宋_GB2312"/>
          <w:sz w:val="28"/>
          <w:szCs w:val="28"/>
        </w:rPr>
        <w:br w:type="page"/>
      </w:r>
      <w:r>
        <w:rPr>
          <w:rFonts w:hint="eastAsia" w:ascii="仿宋" w:hAnsi="仿宋" w:eastAsia="仿宋" w:cs="仿宋"/>
          <w:sz w:val="28"/>
          <w:szCs w:val="28"/>
        </w:rPr>
        <w:t>（四）供应商法定代表人授权书</w:t>
      </w:r>
      <w:bookmarkEnd w:id="27"/>
      <w:bookmarkEnd w:id="28"/>
      <w:bookmarkEnd w:id="29"/>
      <w:bookmarkEnd w:id="30"/>
      <w:bookmarkEnd w:id="31"/>
      <w:bookmarkEnd w:id="32"/>
      <w:bookmarkEnd w:id="33"/>
      <w:bookmarkEnd w:id="34"/>
      <w:bookmarkEnd w:id="35"/>
    </w:p>
    <w:p>
      <w:pPr>
        <w:kinsoku/>
        <w:wordWrap/>
        <w:overflowPunct/>
        <w:bidi w:val="0"/>
        <w:spacing w:line="560" w:lineRule="atLeast"/>
        <w:jc w:val="center"/>
        <w:textAlignment w:val="auto"/>
        <w:rPr>
          <w:rFonts w:hint="eastAsia" w:ascii="仿宋" w:hAnsi="仿宋" w:eastAsia="仿宋" w:cs="仿宋"/>
          <w:sz w:val="28"/>
          <w:szCs w:val="28"/>
        </w:rPr>
      </w:pPr>
      <w:r>
        <w:rPr>
          <w:rFonts w:hint="eastAsia" w:ascii="仿宋" w:hAnsi="仿宋" w:eastAsia="仿宋" w:cs="仿宋"/>
          <w:b/>
          <w:sz w:val="28"/>
          <w:szCs w:val="28"/>
        </w:rPr>
        <w:t>法定代表人授权书</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南部县国润排水有限公司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仪陇国润排水有限公司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南充国润排水有限公司</w:t>
      </w:r>
    </w:p>
    <w:p>
      <w:pPr>
        <w:pStyle w:val="39"/>
        <w:kinsoku/>
        <w:wordWrap/>
        <w:overflowPunct/>
        <w:bidi w:val="0"/>
        <w:spacing w:line="560" w:lineRule="atLeas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南充国润荆溪排水有限公司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遂宁国润排水有限公司</w:t>
      </w:r>
    </w:p>
    <w:p>
      <w:pPr>
        <w:pStyle w:val="92"/>
        <w:kinsoku/>
        <w:wordWrap/>
        <w:overflowPunct/>
        <w:bidi w:val="0"/>
        <w:spacing w:line="560" w:lineRule="atLeast"/>
        <w:ind w:firstLine="560" w:firstLineChars="200"/>
        <w:jc w:val="left"/>
        <w:textAlignment w:val="auto"/>
        <w:rPr>
          <w:rFonts w:cs="Arial"/>
          <w:b w:val="0"/>
          <w:kern w:val="2"/>
          <w:sz w:val="28"/>
          <w:szCs w:val="24"/>
        </w:rPr>
      </w:pPr>
      <w:r>
        <w:rPr>
          <w:rFonts w:hint="eastAsia" w:cs="Arial"/>
          <w:b w:val="0"/>
          <w:kern w:val="2"/>
          <w:sz w:val="28"/>
          <w:szCs w:val="24"/>
        </w:rPr>
        <w:t xml:space="preserve">  </w:t>
      </w:r>
      <w:r>
        <w:rPr>
          <w:rFonts w:hint="eastAsia" w:cs="Arial"/>
          <w:b w:val="0"/>
          <w:kern w:val="2"/>
          <w:sz w:val="28"/>
          <w:szCs w:val="24"/>
          <w:u w:val="single"/>
        </w:rPr>
        <w:t xml:space="preserve">               </w:t>
      </w:r>
      <w:r>
        <w:rPr>
          <w:rFonts w:hint="eastAsia" w:cs="Arial"/>
          <w:b w:val="0"/>
          <w:kern w:val="2"/>
          <w:sz w:val="28"/>
          <w:szCs w:val="24"/>
        </w:rPr>
        <w:t>（供应商全称）</w:t>
      </w:r>
      <w:r>
        <w:rPr>
          <w:rFonts w:hint="eastAsia" w:cs="Arial"/>
          <w:b w:val="0"/>
          <w:kern w:val="2"/>
          <w:sz w:val="28"/>
          <w:szCs w:val="24"/>
          <w:u w:val="single"/>
        </w:rPr>
        <w:t xml:space="preserve">  　 　   </w:t>
      </w:r>
      <w:r>
        <w:rPr>
          <w:rFonts w:hint="eastAsia" w:cs="Arial"/>
          <w:b w:val="0"/>
          <w:kern w:val="2"/>
          <w:sz w:val="28"/>
          <w:szCs w:val="24"/>
        </w:rPr>
        <w:t>（法定代表人姓名）特授权</w:t>
      </w:r>
      <w:r>
        <w:rPr>
          <w:rFonts w:hint="eastAsia" w:cs="Arial"/>
          <w:b w:val="0"/>
          <w:kern w:val="2"/>
          <w:sz w:val="28"/>
          <w:szCs w:val="24"/>
          <w:u w:val="single"/>
        </w:rPr>
        <w:t xml:space="preserve">         </w:t>
      </w:r>
      <w:r>
        <w:rPr>
          <w:rFonts w:hint="eastAsia" w:cs="Arial"/>
          <w:b w:val="0"/>
          <w:kern w:val="2"/>
          <w:sz w:val="28"/>
          <w:szCs w:val="24"/>
        </w:rPr>
        <w:t>（被授权人姓名）代表我公司，针对本项目的竞争性谈判和中选后的合同签订与执行等具体工作，并签订全部有关的文件、合同，我公司对被授权人的行为负全部责任。</w:t>
      </w:r>
    </w:p>
    <w:p>
      <w:pPr>
        <w:pStyle w:val="92"/>
        <w:kinsoku/>
        <w:wordWrap/>
        <w:overflowPunct/>
        <w:bidi w:val="0"/>
        <w:spacing w:line="560" w:lineRule="atLeast"/>
        <w:ind w:firstLine="560" w:firstLineChars="200"/>
        <w:jc w:val="left"/>
        <w:textAlignment w:val="auto"/>
        <w:rPr>
          <w:rFonts w:cs="Arial"/>
          <w:b w:val="0"/>
          <w:kern w:val="2"/>
          <w:sz w:val="28"/>
          <w:szCs w:val="24"/>
        </w:rPr>
      </w:pPr>
      <w:r>
        <w:rPr>
          <w:rFonts w:hint="eastAsia" w:cs="Arial"/>
          <w:b w:val="0"/>
          <w:kern w:val="2"/>
          <w:sz w:val="28"/>
          <w:szCs w:val="24"/>
        </w:rPr>
        <w:t>本授权书于</w:t>
      </w:r>
      <w:r>
        <w:rPr>
          <w:rFonts w:hint="eastAsia" w:cs="Arial"/>
          <w:b w:val="0"/>
          <w:kern w:val="2"/>
          <w:sz w:val="28"/>
          <w:szCs w:val="24"/>
          <w:u w:val="single"/>
        </w:rPr>
        <w:t xml:space="preserve">          </w:t>
      </w:r>
      <w:r>
        <w:rPr>
          <w:rFonts w:hint="eastAsia" w:cs="Arial"/>
          <w:b w:val="0"/>
          <w:kern w:val="2"/>
          <w:sz w:val="28"/>
          <w:szCs w:val="24"/>
        </w:rPr>
        <w:t>年</w:t>
      </w:r>
      <w:r>
        <w:rPr>
          <w:rFonts w:hint="eastAsia" w:cs="Arial"/>
          <w:b w:val="0"/>
          <w:kern w:val="2"/>
          <w:sz w:val="28"/>
          <w:szCs w:val="24"/>
          <w:u w:val="single"/>
        </w:rPr>
        <w:t xml:space="preserve">       </w:t>
      </w:r>
      <w:r>
        <w:rPr>
          <w:rFonts w:hint="eastAsia" w:cs="Arial"/>
          <w:b w:val="0"/>
          <w:kern w:val="2"/>
          <w:sz w:val="28"/>
          <w:szCs w:val="24"/>
        </w:rPr>
        <w:t>月</w:t>
      </w:r>
      <w:r>
        <w:rPr>
          <w:rFonts w:hint="eastAsia" w:cs="Arial"/>
          <w:b w:val="0"/>
          <w:kern w:val="2"/>
          <w:sz w:val="28"/>
          <w:szCs w:val="24"/>
          <w:u w:val="single"/>
        </w:rPr>
        <w:t xml:space="preserve">     </w:t>
      </w:r>
      <w:r>
        <w:rPr>
          <w:rFonts w:hint="eastAsia" w:cs="Arial"/>
          <w:b w:val="0"/>
          <w:kern w:val="2"/>
          <w:sz w:val="28"/>
          <w:szCs w:val="24"/>
        </w:rPr>
        <w:t>日签字生效。在撤消授权的书面通知到达之前，本授权书一直有效，被授权人在授权书有效期内签署的所有文件不因授权的撤消而失效。</w:t>
      </w:r>
    </w:p>
    <w:p>
      <w:pPr>
        <w:pStyle w:val="92"/>
        <w:kinsoku/>
        <w:wordWrap/>
        <w:overflowPunct/>
        <w:bidi w:val="0"/>
        <w:spacing w:line="560" w:lineRule="atLeast"/>
        <w:ind w:firstLine="560" w:firstLineChars="200"/>
        <w:jc w:val="left"/>
        <w:textAlignment w:val="auto"/>
        <w:rPr>
          <w:rFonts w:cs="Arial"/>
          <w:b w:val="0"/>
          <w:kern w:val="2"/>
          <w:sz w:val="28"/>
          <w:szCs w:val="24"/>
        </w:rPr>
      </w:pPr>
    </w:p>
    <w:p>
      <w:pPr>
        <w:kinsoku/>
        <w:wordWrap/>
        <w:overflowPunct/>
        <w:bidi w:val="0"/>
        <w:spacing w:line="560" w:lineRule="atLeast"/>
        <w:textAlignment w:val="auto"/>
        <w:rPr>
          <w:rFonts w:ascii="仿宋_GB2312" w:hAnsi="宋体" w:eastAsia="仿宋_GB2312" w:cs="Arial"/>
          <w:sz w:val="28"/>
          <w:u w:val="single"/>
        </w:rPr>
      </w:pPr>
      <w:r>
        <w:rPr>
          <w:rFonts w:hint="eastAsia" w:ascii="仿宋_GB2312" w:hAnsi="宋体" w:eastAsia="仿宋_GB2312" w:cs="Arial"/>
          <w:sz w:val="28"/>
        </w:rPr>
        <w:t>被授权人：</w:t>
      </w:r>
      <w:r>
        <w:rPr>
          <w:rFonts w:hint="eastAsia" w:ascii="仿宋_GB2312" w:hAnsi="宋体" w:eastAsia="仿宋_GB2312" w:cs="Arial"/>
          <w:sz w:val="28"/>
          <w:u w:val="single"/>
        </w:rPr>
        <w:t xml:space="preserve">（签名）     </w:t>
      </w:r>
      <w:r>
        <w:rPr>
          <w:rFonts w:hint="eastAsia" w:ascii="仿宋_GB2312" w:hAnsi="宋体" w:eastAsia="仿宋_GB2312" w:cs="Arial"/>
          <w:sz w:val="28"/>
        </w:rPr>
        <w:t xml:space="preserve">       供应商：</w:t>
      </w:r>
      <w:r>
        <w:rPr>
          <w:rFonts w:hint="eastAsia" w:ascii="仿宋_GB2312" w:hAnsi="宋体" w:eastAsia="仿宋_GB2312" w:cs="Arial"/>
          <w:sz w:val="28"/>
          <w:u w:val="single"/>
        </w:rPr>
        <w:t>（盖公章）</w:t>
      </w:r>
    </w:p>
    <w:p>
      <w:pPr>
        <w:kinsoku/>
        <w:wordWrap/>
        <w:overflowPunct/>
        <w:bidi w:val="0"/>
        <w:spacing w:line="560" w:lineRule="atLeast"/>
        <w:ind w:firstLine="4060" w:firstLineChars="1450"/>
        <w:textAlignment w:val="auto"/>
        <w:rPr>
          <w:rFonts w:ascii="仿宋_GB2312" w:hAnsi="宋体" w:eastAsia="仿宋_GB2312" w:cs="Arial"/>
          <w:sz w:val="28"/>
          <w:u w:val="single"/>
        </w:rPr>
      </w:pPr>
      <w:r>
        <w:rPr>
          <w:rFonts w:hint="eastAsia" w:ascii="仿宋_GB2312" w:hAnsi="宋体" w:eastAsia="仿宋_GB2312" w:cs="Arial"/>
          <w:sz w:val="28"/>
        </w:rPr>
        <w:t>法定代表人</w:t>
      </w:r>
      <w:r>
        <w:rPr>
          <w:rFonts w:hint="eastAsia" w:ascii="仿宋_GB2312" w:hAnsi="宋体" w:eastAsia="仿宋_GB2312" w:cs="Arial"/>
          <w:sz w:val="28"/>
          <w:u w:val="single"/>
        </w:rPr>
        <w:t xml:space="preserve">（签名）    </w:t>
      </w:r>
    </w:p>
    <w:p>
      <w:pPr>
        <w:kinsoku/>
        <w:wordWrap/>
        <w:overflowPunct/>
        <w:bidi w:val="0"/>
        <w:spacing w:line="560" w:lineRule="atLeast"/>
        <w:ind w:firstLine="560" w:firstLineChars="200"/>
        <w:textAlignment w:val="auto"/>
        <w:rPr>
          <w:rFonts w:ascii="仿宋_GB2312" w:hAnsi="宋体" w:eastAsia="仿宋_GB2312" w:cs="Arial"/>
          <w:sz w:val="28"/>
        </w:rPr>
      </w:pPr>
    </w:p>
    <w:tbl>
      <w:tblPr>
        <w:tblStyle w:val="45"/>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trPr>
        <w:tc>
          <w:tcPr>
            <w:tcW w:w="3910" w:type="dxa"/>
            <w:vAlign w:val="center"/>
          </w:tcPr>
          <w:p>
            <w:pPr>
              <w:kinsoku/>
              <w:wordWrap/>
              <w:overflowPunct/>
              <w:bidi w:val="0"/>
              <w:spacing w:line="560" w:lineRule="atLeast"/>
              <w:jc w:val="center"/>
              <w:textAlignment w:val="auto"/>
              <w:rPr>
                <w:rFonts w:ascii="仿宋_GB2312" w:eastAsia="仿宋_GB2312"/>
                <w:sz w:val="28"/>
              </w:rPr>
            </w:pPr>
            <w:r>
              <w:rPr>
                <w:rFonts w:hint="eastAsia" w:ascii="仿宋_GB2312" w:eastAsia="仿宋_GB2312"/>
                <w:sz w:val="28"/>
              </w:rPr>
              <w:t>授权人身份证复印件</w:t>
            </w:r>
          </w:p>
        </w:tc>
        <w:tc>
          <w:tcPr>
            <w:tcW w:w="1319" w:type="dxa"/>
            <w:tcBorders>
              <w:top w:val="nil"/>
              <w:bottom w:val="nil"/>
            </w:tcBorders>
          </w:tcPr>
          <w:p>
            <w:pPr>
              <w:kinsoku/>
              <w:wordWrap/>
              <w:overflowPunct/>
              <w:bidi w:val="0"/>
              <w:spacing w:line="560" w:lineRule="atLeast"/>
              <w:jc w:val="center"/>
              <w:textAlignment w:val="auto"/>
              <w:rPr>
                <w:rFonts w:ascii="仿宋_GB2312" w:eastAsia="仿宋_GB2312"/>
                <w:sz w:val="28"/>
              </w:rPr>
            </w:pPr>
          </w:p>
        </w:tc>
        <w:tc>
          <w:tcPr>
            <w:tcW w:w="3774" w:type="dxa"/>
            <w:vAlign w:val="center"/>
          </w:tcPr>
          <w:p>
            <w:pPr>
              <w:kinsoku/>
              <w:wordWrap/>
              <w:overflowPunct/>
              <w:bidi w:val="0"/>
              <w:spacing w:line="560" w:lineRule="atLeast"/>
              <w:jc w:val="center"/>
              <w:textAlignment w:val="auto"/>
              <w:rPr>
                <w:rFonts w:ascii="仿宋_GB2312" w:eastAsia="仿宋_GB2312"/>
                <w:sz w:val="28"/>
              </w:rPr>
            </w:pPr>
            <w:r>
              <w:rPr>
                <w:rFonts w:hint="eastAsia" w:ascii="仿宋_GB2312" w:eastAsia="仿宋_GB2312"/>
                <w:sz w:val="28"/>
              </w:rPr>
              <w:t>被授权人身份证复印件</w:t>
            </w:r>
          </w:p>
        </w:tc>
      </w:tr>
    </w:tbl>
    <w:p>
      <w:pPr>
        <w:kinsoku/>
        <w:wordWrap/>
        <w:overflowPunct/>
        <w:bidi w:val="0"/>
        <w:spacing w:line="560" w:lineRule="atLeast"/>
        <w:ind w:firstLine="560" w:firstLineChars="200"/>
        <w:textAlignment w:val="auto"/>
        <w:rPr>
          <w:rFonts w:ascii="仿宋_GB2312" w:hAnsi="宋体" w:eastAsia="仿宋_GB2312" w:cs="Arial"/>
          <w:sz w:val="28"/>
        </w:rPr>
      </w:pPr>
      <w:r>
        <w:rPr>
          <w:rFonts w:hint="eastAsia" w:ascii="仿宋_GB2312" w:hAnsi="宋体" w:eastAsia="仿宋_GB2312" w:cs="Arial"/>
          <w:sz w:val="28"/>
        </w:rPr>
        <w:t xml:space="preserve">                               年    月    日</w:t>
      </w:r>
    </w:p>
    <w:p>
      <w:pPr>
        <w:kinsoku/>
        <w:wordWrap/>
        <w:overflowPunct/>
        <w:bidi w:val="0"/>
        <w:spacing w:line="560" w:lineRule="atLeast"/>
        <w:ind w:left="142"/>
        <w:textAlignment w:val="auto"/>
        <w:rPr>
          <w:rFonts w:ascii="仿宋_GB2312" w:hAnsi="宋体" w:eastAsia="仿宋_GB2312" w:cs="Arial"/>
          <w:sz w:val="28"/>
        </w:rPr>
      </w:pPr>
      <w:r>
        <w:rPr>
          <w:rFonts w:hint="eastAsia" w:ascii="仿宋_GB2312" w:hAnsi="宋体" w:eastAsia="仿宋_GB2312" w:cs="Arial"/>
          <w:sz w:val="28"/>
        </w:rPr>
        <w:t>注：</w:t>
      </w:r>
    </w:p>
    <w:p>
      <w:pPr>
        <w:tabs>
          <w:tab w:val="left" w:pos="720"/>
          <w:tab w:val="left" w:pos="840"/>
        </w:tabs>
        <w:kinsoku/>
        <w:wordWrap/>
        <w:overflowPunct/>
        <w:bidi w:val="0"/>
        <w:spacing w:line="560" w:lineRule="atLeast"/>
        <w:textAlignment w:val="auto"/>
        <w:rPr>
          <w:rFonts w:ascii="仿宋_GB2312" w:hAnsi="宋体" w:eastAsia="仿宋_GB2312"/>
          <w:sz w:val="28"/>
        </w:rPr>
      </w:pPr>
      <w:r>
        <w:rPr>
          <w:rFonts w:hint="eastAsia" w:ascii="仿宋_GB2312" w:hAnsi="宋体" w:eastAsia="仿宋_GB2312"/>
          <w:sz w:val="28"/>
        </w:rPr>
        <w:t xml:space="preserve"> 本授权书适用于法定代表人不亲自参加竞争性谈判的。</w:t>
      </w:r>
    </w:p>
    <w:p>
      <w:pPr>
        <w:pStyle w:val="2"/>
        <w:pageBreakBefore/>
        <w:kinsoku/>
        <w:wordWrap/>
        <w:overflowPunct/>
        <w:bidi w:val="0"/>
        <w:spacing w:line="560" w:lineRule="atLeast"/>
        <w:textAlignment w:val="auto"/>
      </w:pPr>
      <w:bookmarkStart w:id="36" w:name="_Toc20139"/>
      <w:bookmarkStart w:id="37" w:name="_Toc7195"/>
      <w:r>
        <w:rPr>
          <w:rFonts w:hint="eastAsia"/>
        </w:rPr>
        <w:t>二、报价文件</w:t>
      </w:r>
      <w:bookmarkEnd w:id="36"/>
      <w:bookmarkEnd w:id="37"/>
    </w:p>
    <w:p>
      <w:pPr>
        <w:kinsoku/>
        <w:wordWrap/>
        <w:overflowPunct/>
        <w:bidi w:val="0"/>
        <w:spacing w:line="560" w:lineRule="atLeast"/>
        <w:textAlignment w:val="auto"/>
        <w:outlineLvl w:val="2"/>
        <w:rPr>
          <w:rFonts w:hint="eastAsia" w:ascii="仿宋" w:hAnsi="仿宋" w:eastAsia="仿宋" w:cs="仿宋"/>
          <w:sz w:val="28"/>
          <w:szCs w:val="28"/>
        </w:rPr>
      </w:pPr>
      <w:r>
        <w:rPr>
          <w:rFonts w:hint="eastAsia" w:ascii="仿宋" w:hAnsi="仿宋" w:eastAsia="仿宋" w:cs="仿宋"/>
          <w:sz w:val="28"/>
          <w:szCs w:val="28"/>
        </w:rPr>
        <w:t>（一）报价文件封面格式</w:t>
      </w:r>
    </w:p>
    <w:p>
      <w:pPr>
        <w:pStyle w:val="56"/>
        <w:kinsoku/>
        <w:wordWrap/>
        <w:overflowPunct/>
        <w:bidi w:val="0"/>
        <w:spacing w:before="0" w:after="0" w:line="560" w:lineRule="atLeast"/>
        <w:ind w:left="1386"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sz w:val="28"/>
          <w:szCs w:val="28"/>
        </w:rPr>
        <w:t>致：</w:t>
      </w:r>
      <w:r>
        <w:rPr>
          <w:rFonts w:hint="eastAsia" w:ascii="仿宋" w:hAnsi="仿宋" w:eastAsia="仿宋" w:cs="仿宋"/>
          <w:bCs/>
          <w:color w:val="000000" w:themeColor="text1"/>
          <w:sz w:val="28"/>
          <w:szCs w:val="28"/>
          <w14:textFill>
            <w14:solidFill>
              <w14:schemeClr w14:val="tx1"/>
            </w14:solidFill>
          </w14:textFill>
        </w:rPr>
        <w:t>南部县国润排水有限公司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仪陇国润排水有限公司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南充国润排水有限公司</w:t>
      </w:r>
    </w:p>
    <w:p>
      <w:pPr>
        <w:pStyle w:val="39"/>
        <w:kinsoku/>
        <w:wordWrap/>
        <w:overflowPunct/>
        <w:bidi w:val="0"/>
        <w:spacing w:line="560" w:lineRule="atLeas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南充国润荆溪排水有限公司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遂宁国润排水有限公司</w:t>
      </w:r>
    </w:p>
    <w:p>
      <w:pPr>
        <w:pStyle w:val="56"/>
        <w:kinsoku/>
        <w:wordWrap/>
        <w:overflowPunct/>
        <w:bidi w:val="0"/>
        <w:spacing w:before="0" w:after="0" w:line="560" w:lineRule="atLeast"/>
        <w:ind w:left="-63" w:leftChars="-30" w:firstLine="560" w:firstLineChars="200"/>
        <w:textAlignment w:val="auto"/>
        <w:rPr>
          <w:rFonts w:ascii="仿宋_GB2312" w:hAnsi="仿宋" w:eastAsia="仿宋_GB2312"/>
        </w:rPr>
      </w:pPr>
    </w:p>
    <w:p>
      <w:pPr>
        <w:kinsoku/>
        <w:wordWrap/>
        <w:overflowPunct/>
        <w:bidi w:val="0"/>
        <w:spacing w:line="560" w:lineRule="atLeast"/>
        <w:ind w:left="-420" w:leftChars="-200"/>
        <w:jc w:val="center"/>
        <w:textAlignment w:val="auto"/>
        <w:rPr>
          <w:rFonts w:ascii="仿宋_GB2312" w:hAnsi="仿宋" w:eastAsia="仿宋_GB2312"/>
          <w:sz w:val="84"/>
          <w:szCs w:val="84"/>
        </w:rPr>
      </w:pPr>
      <w:r>
        <w:rPr>
          <w:rFonts w:hint="eastAsia" w:ascii="仿宋_GB2312" w:hAnsi="仿宋" w:eastAsia="仿宋_GB2312"/>
          <w:sz w:val="84"/>
          <w:szCs w:val="84"/>
        </w:rPr>
        <w:t>报价文件</w:t>
      </w: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firstLine="1820" w:firstLineChars="650"/>
        <w:textAlignment w:val="auto"/>
        <w:rPr>
          <w:rFonts w:ascii="仿宋_GB2312" w:hAnsi="仿宋" w:eastAsia="仿宋_GB2312"/>
          <w:sz w:val="28"/>
          <w:szCs w:val="28"/>
        </w:rPr>
      </w:pPr>
    </w:p>
    <w:p>
      <w:pPr>
        <w:kinsoku/>
        <w:wordWrap/>
        <w:overflowPunct/>
        <w:bidi w:val="0"/>
        <w:spacing w:line="560" w:lineRule="atLeast"/>
        <w:ind w:left="-420" w:leftChars="-200" w:firstLine="1820" w:firstLineChars="650"/>
        <w:textAlignment w:val="auto"/>
        <w:rPr>
          <w:rFonts w:ascii="仿宋_GB2312" w:hAnsi="仿宋" w:eastAsia="仿宋_GB2312"/>
          <w:sz w:val="28"/>
          <w:szCs w:val="28"/>
        </w:rPr>
      </w:pPr>
      <w:r>
        <w:rPr>
          <w:rFonts w:hint="eastAsia" w:ascii="仿宋_GB2312" w:hAnsi="仿宋" w:eastAsia="仿宋_GB2312"/>
          <w:sz w:val="28"/>
          <w:szCs w:val="28"/>
        </w:rPr>
        <w:t>项目编号：</w:t>
      </w:r>
    </w:p>
    <w:p>
      <w:pPr>
        <w:kinsoku/>
        <w:wordWrap/>
        <w:overflowPunct/>
        <w:bidi w:val="0"/>
        <w:spacing w:line="560" w:lineRule="atLeast"/>
        <w:ind w:left="-420" w:leftChars="-200" w:firstLine="1820" w:firstLineChars="650"/>
        <w:textAlignment w:val="auto"/>
        <w:rPr>
          <w:rFonts w:ascii="仿宋_GB2312" w:hAnsi="仿宋" w:eastAsia="仿宋_GB2312"/>
          <w:sz w:val="28"/>
          <w:szCs w:val="28"/>
        </w:rPr>
      </w:pPr>
      <w:r>
        <w:rPr>
          <w:rFonts w:hint="eastAsia" w:ascii="仿宋_GB2312" w:hAnsi="仿宋" w:eastAsia="仿宋_GB2312"/>
          <w:sz w:val="28"/>
          <w:szCs w:val="28"/>
        </w:rPr>
        <w:t>项目名称：</w:t>
      </w: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r>
        <w:rPr>
          <w:rFonts w:hint="eastAsia" w:ascii="仿宋_GB2312" w:hAnsi="仿宋" w:eastAsia="仿宋_GB2312"/>
          <w:sz w:val="28"/>
          <w:szCs w:val="28"/>
        </w:rPr>
        <w:t>法定代表人或授权代理人签字：</w:t>
      </w:r>
    </w:p>
    <w:p>
      <w:pPr>
        <w:kinsoku/>
        <w:wordWrap/>
        <w:overflowPunct/>
        <w:bidi w:val="0"/>
        <w:spacing w:line="560" w:lineRule="atLeast"/>
        <w:ind w:firstLine="2240" w:firstLineChars="800"/>
        <w:textAlignment w:val="auto"/>
        <w:rPr>
          <w:rFonts w:ascii="仿宋_GB2312" w:hAnsi="仿宋" w:eastAsia="仿宋_GB2312"/>
          <w:sz w:val="28"/>
          <w:szCs w:val="28"/>
        </w:rPr>
      </w:pPr>
      <w:r>
        <w:rPr>
          <w:rFonts w:hint="eastAsia" w:ascii="仿宋_GB2312" w:hAnsi="仿宋" w:eastAsia="仿宋_GB2312"/>
          <w:sz w:val="28"/>
          <w:szCs w:val="28"/>
        </w:rPr>
        <w:t>供应商名称并盖公章：</w:t>
      </w: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r>
        <w:rPr>
          <w:rFonts w:hint="eastAsia" w:ascii="仿宋_GB2312" w:hAnsi="仿宋" w:eastAsia="仿宋_GB2312"/>
          <w:sz w:val="28"/>
          <w:szCs w:val="28"/>
        </w:rPr>
        <w:t>年     月      日</w:t>
      </w:r>
    </w:p>
    <w:p>
      <w:pPr>
        <w:kinsoku/>
        <w:wordWrap/>
        <w:overflowPunct/>
        <w:bidi w:val="0"/>
        <w:spacing w:line="560" w:lineRule="atLeast"/>
        <w:textAlignment w:val="auto"/>
        <w:rPr>
          <w:rFonts w:ascii="仿宋_GB2312" w:hAnsi="仿宋" w:eastAsia="仿宋_GB2312"/>
        </w:rPr>
      </w:pPr>
    </w:p>
    <w:p>
      <w:pPr>
        <w:pStyle w:val="19"/>
        <w:kinsoku/>
        <w:wordWrap/>
        <w:overflowPunct/>
        <w:bidi w:val="0"/>
        <w:spacing w:line="560" w:lineRule="atLeast"/>
        <w:textAlignment w:val="auto"/>
        <w:rPr>
          <w:rFonts w:ascii="仿宋_GB2312" w:hAnsi="仿宋" w:eastAsia="仿宋_GB2312"/>
        </w:rPr>
      </w:pPr>
    </w:p>
    <w:p>
      <w:pPr>
        <w:kinsoku/>
        <w:wordWrap/>
        <w:overflowPunct/>
        <w:bidi w:val="0"/>
        <w:spacing w:line="560" w:lineRule="atLeast"/>
        <w:textAlignment w:val="auto"/>
        <w:rPr>
          <w:rFonts w:ascii="仿宋_GB2312" w:hAnsi="仿宋" w:eastAsia="仿宋_GB2312"/>
        </w:rPr>
      </w:pPr>
    </w:p>
    <w:p>
      <w:pPr>
        <w:kinsoku/>
        <w:wordWrap/>
        <w:overflowPunct/>
        <w:bidi w:val="0"/>
        <w:spacing w:line="560" w:lineRule="atLeast"/>
        <w:textAlignment w:val="auto"/>
        <w:outlineLvl w:val="2"/>
        <w:rPr>
          <w:rFonts w:hint="eastAsia" w:ascii="仿宋_GB2312" w:hAnsi="仿宋" w:eastAsia="仿宋_GB2312"/>
          <w:sz w:val="28"/>
          <w:szCs w:val="28"/>
          <w:lang w:eastAsia="zh-CN"/>
        </w:rPr>
      </w:pPr>
    </w:p>
    <w:p>
      <w:pPr>
        <w:kinsoku/>
        <w:wordWrap/>
        <w:overflowPunct/>
        <w:bidi w:val="0"/>
        <w:spacing w:line="560" w:lineRule="atLeast"/>
        <w:textAlignment w:val="auto"/>
        <w:outlineLvl w:val="2"/>
        <w:rPr>
          <w:rFonts w:ascii="仿宋_GB2312" w:hAnsi="仿宋" w:eastAsia="仿宋_GB2312"/>
          <w:sz w:val="28"/>
          <w:szCs w:val="28"/>
        </w:rPr>
      </w:pPr>
      <w:r>
        <w:rPr>
          <w:rFonts w:hint="eastAsia" w:ascii="仿宋_GB2312" w:hAnsi="仿宋" w:eastAsia="仿宋_GB2312"/>
          <w:sz w:val="28"/>
          <w:szCs w:val="28"/>
        </w:rPr>
        <w:t>（二）报价表</w:t>
      </w:r>
    </w:p>
    <w:p>
      <w:pPr>
        <w:kinsoku/>
        <w:wordWrap/>
        <w:overflowPunct/>
        <w:bidi w:val="0"/>
        <w:spacing w:line="560" w:lineRule="atLeast"/>
        <w:jc w:val="center"/>
        <w:textAlignment w:val="auto"/>
        <w:rPr>
          <w:rFonts w:ascii="仿宋_GB2312" w:hAnsi="仿宋" w:eastAsia="仿宋_GB2312"/>
          <w:b/>
          <w:sz w:val="28"/>
          <w:szCs w:val="28"/>
        </w:rPr>
      </w:pPr>
      <w:r>
        <w:rPr>
          <w:rFonts w:hint="eastAsia" w:ascii="仿宋_GB2312" w:hAnsi="仿宋" w:eastAsia="仿宋_GB2312"/>
          <w:b/>
          <w:sz w:val="28"/>
          <w:szCs w:val="28"/>
        </w:rPr>
        <w:t>第一次报价表（可调整）</w:t>
      </w:r>
    </w:p>
    <w:p>
      <w:pPr>
        <w:kinsoku/>
        <w:wordWrap/>
        <w:overflowPunct/>
        <w:bidi w:val="0"/>
        <w:spacing w:line="560" w:lineRule="atLeast"/>
        <w:textAlignment w:val="auto"/>
        <w:rPr>
          <w:rFonts w:ascii="仿宋_GB2312" w:hAnsi="仿宋" w:eastAsia="仿宋_GB2312"/>
          <w:sz w:val="28"/>
          <w:szCs w:val="28"/>
        </w:rPr>
      </w:pPr>
      <w:r>
        <w:rPr>
          <w:rFonts w:hint="eastAsia" w:ascii="仿宋_GB2312" w:hAnsi="仿宋" w:eastAsia="仿宋_GB2312"/>
          <w:sz w:val="28"/>
          <w:szCs w:val="28"/>
        </w:rPr>
        <w:t xml:space="preserve">项目编号：     </w:t>
      </w:r>
      <w:r>
        <w:rPr>
          <w:rFonts w:hint="eastAsia" w:ascii="仿宋_GB2312" w:hAnsi="仿宋" w:eastAsia="仿宋_GB2312"/>
          <w:sz w:val="28"/>
          <w:szCs w:val="28"/>
        </w:rPr>
        <w:tab/>
      </w:r>
      <w:r>
        <w:rPr>
          <w:rFonts w:hint="eastAsia" w:ascii="仿宋_GB2312" w:hAnsi="仿宋" w:eastAsia="仿宋_GB2312"/>
          <w:sz w:val="28"/>
          <w:szCs w:val="28"/>
        </w:rPr>
        <w:tab/>
      </w:r>
      <w:r>
        <w:rPr>
          <w:rFonts w:hint="eastAsia" w:ascii="仿宋_GB2312" w:hAnsi="仿宋" w:eastAsia="仿宋_GB2312"/>
          <w:sz w:val="28"/>
          <w:szCs w:val="28"/>
        </w:rPr>
        <w:tab/>
      </w:r>
      <w:r>
        <w:rPr>
          <w:rFonts w:hint="eastAsia" w:ascii="仿宋_GB2312" w:hAnsi="仿宋" w:eastAsia="仿宋_GB2312"/>
          <w:sz w:val="28"/>
          <w:szCs w:val="28"/>
        </w:rPr>
        <w:t xml:space="preserve">      </w:t>
      </w:r>
      <w:r>
        <w:rPr>
          <w:rFonts w:hint="eastAsia" w:ascii="仿宋_GB2312" w:hAnsi="仿宋" w:eastAsia="仿宋_GB2312"/>
          <w:sz w:val="28"/>
          <w:szCs w:val="28"/>
        </w:rPr>
        <w:tab/>
      </w:r>
      <w:r>
        <w:rPr>
          <w:rFonts w:hint="eastAsia" w:ascii="仿宋_GB2312" w:hAnsi="仿宋" w:eastAsia="仿宋_GB2312"/>
          <w:sz w:val="28"/>
          <w:szCs w:val="28"/>
        </w:rPr>
        <w:t xml:space="preserve">  </w:t>
      </w:r>
      <w:r>
        <w:rPr>
          <w:rFonts w:hint="eastAsia" w:ascii="仿宋_GB2312" w:hAnsi="仿宋" w:eastAsia="仿宋_GB2312"/>
          <w:sz w:val="28"/>
          <w:szCs w:val="28"/>
        </w:rPr>
        <w:tab/>
      </w:r>
      <w:r>
        <w:rPr>
          <w:rFonts w:hint="eastAsia" w:ascii="仿宋_GB2312" w:hAnsi="仿宋" w:eastAsia="仿宋_GB2312"/>
          <w:sz w:val="28"/>
          <w:szCs w:val="28"/>
        </w:rPr>
        <w:t>单位：元</w:t>
      </w:r>
    </w:p>
    <w:tbl>
      <w:tblPr>
        <w:tblStyle w:val="45"/>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856"/>
        <w:gridCol w:w="2551"/>
        <w:gridCol w:w="2694"/>
        <w:gridCol w:w="2724"/>
      </w:tblGrid>
      <w:tr>
        <w:tblPrEx>
          <w:tblCellMar>
            <w:top w:w="0" w:type="dxa"/>
            <w:left w:w="108" w:type="dxa"/>
            <w:bottom w:w="0" w:type="dxa"/>
            <w:right w:w="108" w:type="dxa"/>
          </w:tblCellMar>
        </w:tblPrEx>
        <w:trPr>
          <w:trHeight w:val="450"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cs="Arial"/>
                <w:sz w:val="24"/>
              </w:rPr>
            </w:pPr>
            <w:r>
              <w:rPr>
                <w:rFonts w:hint="eastAsia" w:ascii="仿宋_GB2312" w:hAnsi="仿宋" w:eastAsia="仿宋_GB2312" w:cs="Arial"/>
                <w:sz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cs="Arial"/>
                <w:sz w:val="24"/>
              </w:rPr>
            </w:pPr>
            <w:r>
              <w:rPr>
                <w:rFonts w:hint="eastAsia" w:ascii="仿宋_GB2312" w:hAnsi="仿宋" w:eastAsia="仿宋_GB2312" w:cs="Arial"/>
                <w:sz w:val="24"/>
              </w:rPr>
              <w:t>名称</w:t>
            </w:r>
          </w:p>
        </w:tc>
        <w:tc>
          <w:tcPr>
            <w:tcW w:w="269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cs="Arial"/>
                <w:sz w:val="24"/>
              </w:rPr>
            </w:pPr>
            <w:r>
              <w:rPr>
                <w:rFonts w:hint="eastAsia" w:ascii="仿宋_GB2312" w:hAnsi="仿宋" w:eastAsia="仿宋_GB2312" w:cs="Arial"/>
                <w:sz w:val="24"/>
              </w:rPr>
              <w:t>价格</w:t>
            </w:r>
          </w:p>
        </w:tc>
        <w:tc>
          <w:tcPr>
            <w:tcW w:w="272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cs="Arial"/>
                <w:sz w:val="24"/>
              </w:rPr>
            </w:pPr>
            <w:r>
              <w:rPr>
                <w:rFonts w:hint="eastAsia" w:ascii="仿宋_GB2312" w:hAnsi="仿宋" w:eastAsia="仿宋_GB2312" w:cs="Arial"/>
                <w:sz w:val="24"/>
              </w:rPr>
              <w:t>备注</w:t>
            </w:r>
          </w:p>
        </w:tc>
      </w:tr>
      <w:tr>
        <w:tblPrEx>
          <w:tblCellMar>
            <w:top w:w="0" w:type="dxa"/>
            <w:left w:w="108" w:type="dxa"/>
            <w:bottom w:w="0" w:type="dxa"/>
            <w:right w:w="108" w:type="dxa"/>
          </w:tblCellMar>
        </w:tblPrEx>
        <w:trPr>
          <w:trHeight w:val="793" w:hRule="atLeast"/>
        </w:trPr>
        <w:tc>
          <w:tcPr>
            <w:tcW w:w="856"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551"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69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kern w:val="0"/>
                <w:sz w:val="24"/>
              </w:rPr>
            </w:pPr>
          </w:p>
        </w:tc>
        <w:tc>
          <w:tcPr>
            <w:tcW w:w="2724" w:type="dxa"/>
            <w:tcBorders>
              <w:top w:val="nil"/>
              <w:left w:val="nil"/>
              <w:bottom w:val="single" w:color="auto" w:sz="4" w:space="0"/>
              <w:right w:val="single" w:color="auto" w:sz="4" w:space="0"/>
            </w:tcBorders>
            <w:vAlign w:val="bottom"/>
          </w:tcPr>
          <w:p>
            <w:pPr>
              <w:widowControl/>
              <w:kinsoku/>
              <w:wordWrap/>
              <w:overflowPunct/>
              <w:bidi w:val="0"/>
              <w:spacing w:line="560" w:lineRule="atLeast"/>
              <w:jc w:val="right"/>
              <w:textAlignment w:val="auto"/>
              <w:rPr>
                <w:rFonts w:ascii="仿宋_GB2312" w:hAnsi="仿宋" w:eastAsia="仿宋_GB2312" w:cs="Arial"/>
                <w:kern w:val="0"/>
                <w:sz w:val="24"/>
              </w:rPr>
            </w:pPr>
          </w:p>
        </w:tc>
      </w:tr>
      <w:tr>
        <w:tblPrEx>
          <w:tblCellMar>
            <w:top w:w="0" w:type="dxa"/>
            <w:left w:w="108" w:type="dxa"/>
            <w:bottom w:w="0" w:type="dxa"/>
            <w:right w:w="108" w:type="dxa"/>
          </w:tblCellMar>
        </w:tblPrEx>
        <w:trPr>
          <w:trHeight w:val="793" w:hRule="atLeast"/>
        </w:trPr>
        <w:tc>
          <w:tcPr>
            <w:tcW w:w="856"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551"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69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kern w:val="0"/>
                <w:sz w:val="24"/>
              </w:rPr>
            </w:pPr>
          </w:p>
        </w:tc>
        <w:tc>
          <w:tcPr>
            <w:tcW w:w="2724" w:type="dxa"/>
            <w:tcBorders>
              <w:top w:val="nil"/>
              <w:left w:val="nil"/>
              <w:bottom w:val="single" w:color="auto" w:sz="4" w:space="0"/>
              <w:right w:val="single" w:color="auto" w:sz="4" w:space="0"/>
            </w:tcBorders>
            <w:vAlign w:val="bottom"/>
          </w:tcPr>
          <w:p>
            <w:pPr>
              <w:widowControl/>
              <w:kinsoku/>
              <w:wordWrap/>
              <w:overflowPunct/>
              <w:bidi w:val="0"/>
              <w:spacing w:line="560" w:lineRule="atLeast"/>
              <w:jc w:val="right"/>
              <w:textAlignment w:val="auto"/>
              <w:rPr>
                <w:rFonts w:ascii="仿宋_GB2312" w:hAnsi="仿宋" w:eastAsia="仿宋_GB2312" w:cs="Arial"/>
                <w:kern w:val="0"/>
                <w:sz w:val="24"/>
              </w:rPr>
            </w:pPr>
          </w:p>
        </w:tc>
      </w:tr>
      <w:tr>
        <w:tblPrEx>
          <w:tblCellMar>
            <w:top w:w="0" w:type="dxa"/>
            <w:left w:w="108" w:type="dxa"/>
            <w:bottom w:w="0" w:type="dxa"/>
            <w:right w:w="108" w:type="dxa"/>
          </w:tblCellMar>
        </w:tblPrEx>
        <w:trPr>
          <w:trHeight w:val="793" w:hRule="atLeast"/>
        </w:trPr>
        <w:tc>
          <w:tcPr>
            <w:tcW w:w="856"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551"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69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kern w:val="0"/>
                <w:sz w:val="24"/>
              </w:rPr>
            </w:pPr>
          </w:p>
        </w:tc>
        <w:tc>
          <w:tcPr>
            <w:tcW w:w="2724" w:type="dxa"/>
            <w:tcBorders>
              <w:top w:val="nil"/>
              <w:left w:val="nil"/>
              <w:bottom w:val="single" w:color="auto" w:sz="4" w:space="0"/>
              <w:right w:val="single" w:color="auto" w:sz="4" w:space="0"/>
            </w:tcBorders>
            <w:vAlign w:val="bottom"/>
          </w:tcPr>
          <w:p>
            <w:pPr>
              <w:widowControl/>
              <w:kinsoku/>
              <w:wordWrap/>
              <w:overflowPunct/>
              <w:bidi w:val="0"/>
              <w:spacing w:line="560" w:lineRule="atLeast"/>
              <w:jc w:val="right"/>
              <w:textAlignment w:val="auto"/>
              <w:rPr>
                <w:rFonts w:ascii="仿宋_GB2312" w:hAnsi="仿宋" w:eastAsia="仿宋_GB2312" w:cs="Arial"/>
                <w:kern w:val="0"/>
                <w:sz w:val="24"/>
              </w:rPr>
            </w:pPr>
          </w:p>
        </w:tc>
      </w:tr>
      <w:tr>
        <w:tblPrEx>
          <w:tblCellMar>
            <w:top w:w="0" w:type="dxa"/>
            <w:left w:w="108" w:type="dxa"/>
            <w:bottom w:w="0" w:type="dxa"/>
            <w:right w:w="108" w:type="dxa"/>
          </w:tblCellMar>
        </w:tblPrEx>
        <w:trPr>
          <w:trHeight w:val="793" w:hRule="atLeast"/>
        </w:trPr>
        <w:tc>
          <w:tcPr>
            <w:tcW w:w="856"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551"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69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kern w:val="0"/>
                <w:sz w:val="24"/>
              </w:rPr>
            </w:pPr>
          </w:p>
        </w:tc>
        <w:tc>
          <w:tcPr>
            <w:tcW w:w="2724" w:type="dxa"/>
            <w:tcBorders>
              <w:top w:val="nil"/>
              <w:left w:val="nil"/>
              <w:bottom w:val="single" w:color="auto" w:sz="4" w:space="0"/>
              <w:right w:val="single" w:color="auto" w:sz="4" w:space="0"/>
            </w:tcBorders>
            <w:vAlign w:val="bottom"/>
          </w:tcPr>
          <w:p>
            <w:pPr>
              <w:widowControl/>
              <w:kinsoku/>
              <w:wordWrap/>
              <w:overflowPunct/>
              <w:bidi w:val="0"/>
              <w:spacing w:line="560" w:lineRule="atLeast"/>
              <w:jc w:val="right"/>
              <w:textAlignment w:val="auto"/>
              <w:rPr>
                <w:rFonts w:ascii="仿宋_GB2312" w:hAnsi="仿宋" w:eastAsia="仿宋_GB2312" w:cs="Arial"/>
                <w:kern w:val="0"/>
                <w:sz w:val="24"/>
              </w:rPr>
            </w:pPr>
          </w:p>
        </w:tc>
      </w:tr>
      <w:tr>
        <w:tblPrEx>
          <w:tblCellMar>
            <w:top w:w="0" w:type="dxa"/>
            <w:left w:w="108" w:type="dxa"/>
            <w:bottom w:w="0" w:type="dxa"/>
            <w:right w:w="108" w:type="dxa"/>
          </w:tblCellMar>
        </w:tblPrEx>
        <w:trPr>
          <w:trHeight w:val="793" w:hRule="atLeast"/>
        </w:trPr>
        <w:tc>
          <w:tcPr>
            <w:tcW w:w="856"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551"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69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kern w:val="0"/>
                <w:sz w:val="24"/>
              </w:rPr>
            </w:pPr>
          </w:p>
        </w:tc>
        <w:tc>
          <w:tcPr>
            <w:tcW w:w="2724" w:type="dxa"/>
            <w:tcBorders>
              <w:top w:val="nil"/>
              <w:left w:val="nil"/>
              <w:bottom w:val="single" w:color="auto" w:sz="4" w:space="0"/>
              <w:right w:val="single" w:color="auto" w:sz="4" w:space="0"/>
            </w:tcBorders>
            <w:vAlign w:val="bottom"/>
          </w:tcPr>
          <w:p>
            <w:pPr>
              <w:widowControl/>
              <w:kinsoku/>
              <w:wordWrap/>
              <w:overflowPunct/>
              <w:bidi w:val="0"/>
              <w:spacing w:line="560" w:lineRule="atLeast"/>
              <w:jc w:val="right"/>
              <w:textAlignment w:val="auto"/>
              <w:rPr>
                <w:rFonts w:ascii="仿宋_GB2312" w:hAnsi="仿宋" w:eastAsia="仿宋_GB2312" w:cs="Arial"/>
                <w:kern w:val="0"/>
                <w:sz w:val="24"/>
              </w:rPr>
            </w:pPr>
          </w:p>
        </w:tc>
      </w:tr>
      <w:tr>
        <w:tblPrEx>
          <w:tblCellMar>
            <w:top w:w="0" w:type="dxa"/>
            <w:left w:w="108" w:type="dxa"/>
            <w:bottom w:w="0" w:type="dxa"/>
            <w:right w:w="108" w:type="dxa"/>
          </w:tblCellMar>
        </w:tblPrEx>
        <w:trPr>
          <w:trHeight w:val="450" w:hRule="atLeast"/>
        </w:trPr>
        <w:tc>
          <w:tcPr>
            <w:tcW w:w="3407" w:type="dxa"/>
            <w:gridSpan w:val="2"/>
            <w:tcBorders>
              <w:top w:val="nil"/>
              <w:left w:val="single" w:color="auto" w:sz="4" w:space="0"/>
              <w:bottom w:val="single" w:color="auto" w:sz="4" w:space="0"/>
              <w:right w:val="single" w:color="auto" w:sz="4" w:space="0"/>
            </w:tcBorders>
            <w:shd w:val="clear" w:color="auto" w:fill="auto"/>
            <w:vAlign w:val="center"/>
          </w:tcPr>
          <w:p>
            <w:pPr>
              <w:kinsoku/>
              <w:wordWrap/>
              <w:overflowPunct/>
              <w:bidi w:val="0"/>
              <w:spacing w:line="560" w:lineRule="atLeast"/>
              <w:textAlignment w:val="auto"/>
              <w:rPr>
                <w:rFonts w:ascii="仿宋_GB2312" w:hAnsi="仿宋" w:eastAsia="仿宋_GB2312" w:cs="Arial"/>
                <w:sz w:val="24"/>
              </w:rPr>
            </w:pPr>
            <w:r>
              <w:rPr>
                <w:rFonts w:hint="eastAsia" w:ascii="仿宋_GB2312" w:hAnsi="仿宋" w:eastAsia="仿宋_GB2312" w:cs="Arial"/>
                <w:sz w:val="24"/>
              </w:rPr>
              <w:t>合计金额</w:t>
            </w:r>
          </w:p>
        </w:tc>
        <w:tc>
          <w:tcPr>
            <w:tcW w:w="5418" w:type="dxa"/>
            <w:gridSpan w:val="2"/>
            <w:tcBorders>
              <w:top w:val="nil"/>
              <w:left w:val="nil"/>
              <w:bottom w:val="single" w:color="auto" w:sz="4" w:space="0"/>
              <w:right w:val="single" w:color="auto" w:sz="4" w:space="0"/>
            </w:tcBorders>
            <w:shd w:val="clear" w:color="auto" w:fill="FFFFFF"/>
            <w:vAlign w:val="center"/>
          </w:tcPr>
          <w:p>
            <w:pPr>
              <w:widowControl/>
              <w:kinsoku/>
              <w:wordWrap/>
              <w:overflowPunct/>
              <w:bidi w:val="0"/>
              <w:spacing w:line="560" w:lineRule="atLeast"/>
              <w:textAlignment w:val="auto"/>
              <w:rPr>
                <w:rFonts w:ascii="仿宋_GB2312" w:hAnsi="仿宋" w:eastAsia="仿宋_GB2312" w:cs="Arial"/>
                <w:kern w:val="0"/>
                <w:sz w:val="24"/>
              </w:rPr>
            </w:pPr>
            <w:r>
              <w:rPr>
                <w:rFonts w:hint="eastAsia" w:ascii="仿宋_GB2312" w:hAnsi="仿宋" w:eastAsia="仿宋_GB2312" w:cs="Arial"/>
                <w:sz w:val="24"/>
              </w:rPr>
              <w:t>（小写）</w:t>
            </w:r>
          </w:p>
        </w:tc>
      </w:tr>
      <w:tr>
        <w:tblPrEx>
          <w:tblCellMar>
            <w:top w:w="0" w:type="dxa"/>
            <w:left w:w="108" w:type="dxa"/>
            <w:bottom w:w="0" w:type="dxa"/>
            <w:right w:w="108" w:type="dxa"/>
          </w:tblCellMar>
        </w:tblPrEx>
        <w:trPr>
          <w:trHeight w:val="450" w:hRule="atLeast"/>
        </w:trPr>
        <w:tc>
          <w:tcPr>
            <w:tcW w:w="3407" w:type="dxa"/>
            <w:gridSpan w:val="2"/>
            <w:tcBorders>
              <w:top w:val="nil"/>
              <w:left w:val="single" w:color="auto" w:sz="4" w:space="0"/>
              <w:bottom w:val="single" w:color="auto" w:sz="4" w:space="0"/>
              <w:right w:val="single" w:color="auto" w:sz="4" w:space="0"/>
            </w:tcBorders>
            <w:shd w:val="clear" w:color="auto" w:fill="auto"/>
            <w:vAlign w:val="center"/>
          </w:tcPr>
          <w:p>
            <w:pPr>
              <w:kinsoku/>
              <w:wordWrap/>
              <w:overflowPunct/>
              <w:bidi w:val="0"/>
              <w:spacing w:line="560" w:lineRule="atLeast"/>
              <w:textAlignment w:val="auto"/>
              <w:rPr>
                <w:rFonts w:ascii="仿宋_GB2312" w:hAnsi="仿宋" w:eastAsia="仿宋_GB2312" w:cs="Arial"/>
                <w:sz w:val="24"/>
              </w:rPr>
            </w:pPr>
            <w:r>
              <w:rPr>
                <w:rFonts w:hint="eastAsia" w:ascii="仿宋_GB2312" w:hAnsi="仿宋" w:eastAsia="仿宋_GB2312" w:cs="Arial"/>
                <w:sz w:val="24"/>
              </w:rPr>
              <w:t>合计金额</w:t>
            </w:r>
          </w:p>
        </w:tc>
        <w:tc>
          <w:tcPr>
            <w:tcW w:w="5418" w:type="dxa"/>
            <w:gridSpan w:val="2"/>
            <w:tcBorders>
              <w:top w:val="single" w:color="auto" w:sz="4" w:space="0"/>
              <w:left w:val="nil"/>
              <w:bottom w:val="single" w:color="auto" w:sz="4" w:space="0"/>
              <w:right w:val="single" w:color="auto" w:sz="4" w:space="0"/>
            </w:tcBorders>
            <w:shd w:val="clear" w:color="auto" w:fill="FFFFFF"/>
            <w:vAlign w:val="bottom"/>
          </w:tcPr>
          <w:p>
            <w:pPr>
              <w:kinsoku/>
              <w:wordWrap/>
              <w:overflowPunct/>
              <w:bidi w:val="0"/>
              <w:spacing w:line="560" w:lineRule="atLeast"/>
              <w:textAlignment w:val="auto"/>
              <w:rPr>
                <w:rFonts w:ascii="仿宋_GB2312" w:hAnsi="仿宋" w:eastAsia="仿宋_GB2312" w:cs="Arial"/>
                <w:sz w:val="24"/>
              </w:rPr>
            </w:pPr>
            <w:r>
              <w:rPr>
                <w:rFonts w:hint="eastAsia" w:ascii="仿宋_GB2312" w:hAnsi="仿宋" w:eastAsia="仿宋_GB2312" w:cs="Arial"/>
                <w:sz w:val="24"/>
              </w:rPr>
              <w:t>（大写）</w:t>
            </w:r>
          </w:p>
        </w:tc>
      </w:tr>
    </w:tbl>
    <w:p>
      <w:pPr>
        <w:kinsoku/>
        <w:wordWrap/>
        <w:overflowPunct/>
        <w:bidi w:val="0"/>
        <w:spacing w:line="560" w:lineRule="atLeast"/>
        <w:ind w:firstLine="420"/>
        <w:textAlignment w:val="auto"/>
        <w:rPr>
          <w:rFonts w:ascii="仿宋_GB2312" w:hAnsi="宋体" w:eastAsia="仿宋_GB2312" w:cs="Arial"/>
          <w:sz w:val="28"/>
          <w:szCs w:val="28"/>
        </w:rPr>
      </w:pPr>
      <w:r>
        <w:rPr>
          <w:rFonts w:hint="eastAsia" w:ascii="仿宋_GB2312" w:hAnsi="宋体" w:eastAsia="仿宋_GB2312" w:cs="Arial"/>
          <w:sz w:val="28"/>
          <w:szCs w:val="28"/>
        </w:rPr>
        <w:t>注：</w:t>
      </w:r>
    </w:p>
    <w:p>
      <w:pPr>
        <w:kinsoku/>
        <w:wordWrap/>
        <w:overflowPunct/>
        <w:bidi w:val="0"/>
        <w:spacing w:line="560" w:lineRule="atLeast"/>
        <w:ind w:left="2" w:firstLine="537" w:firstLineChars="192"/>
        <w:textAlignment w:val="auto"/>
        <w:rPr>
          <w:rFonts w:ascii="仿宋_GB2312" w:hAnsi="宋体" w:eastAsia="仿宋_GB2312" w:cs="Arial"/>
          <w:sz w:val="28"/>
          <w:szCs w:val="28"/>
        </w:rPr>
      </w:pPr>
      <w:r>
        <w:rPr>
          <w:rFonts w:hint="eastAsia" w:ascii="仿宋_GB2312" w:hAnsi="宋体" w:eastAsia="仿宋_GB2312" w:cs="Arial"/>
          <w:sz w:val="28"/>
          <w:szCs w:val="28"/>
        </w:rPr>
        <w:t>1. 若报价金额大、小写有差异，则以大写金额为准；</w:t>
      </w:r>
    </w:p>
    <w:p>
      <w:pPr>
        <w:tabs>
          <w:tab w:val="left" w:pos="6720"/>
          <w:tab w:val="left" w:pos="6870"/>
        </w:tabs>
        <w:kinsoku/>
        <w:wordWrap/>
        <w:overflowPunct/>
        <w:bidi w:val="0"/>
        <w:spacing w:line="560" w:lineRule="atLeast"/>
        <w:ind w:firstLine="560" w:firstLineChars="200"/>
        <w:textAlignment w:val="auto"/>
        <w:rPr>
          <w:rFonts w:ascii="仿宋_GB2312" w:hAnsi="宋体" w:eastAsia="仿宋_GB2312" w:cs="Arial"/>
          <w:sz w:val="28"/>
          <w:szCs w:val="28"/>
        </w:rPr>
      </w:pPr>
      <w:r>
        <w:rPr>
          <w:rFonts w:hint="eastAsia" w:ascii="仿宋_GB2312" w:hAnsi="宋体" w:eastAsia="仿宋_GB2312" w:cs="Arial"/>
          <w:sz w:val="28"/>
          <w:szCs w:val="28"/>
        </w:rPr>
        <w:t>2．供应商报价中应包含项目所有有关的费用，如供应商在项目实施中产生新的费用由供应商自行解决并承担相关费用。</w:t>
      </w:r>
    </w:p>
    <w:p>
      <w:pPr>
        <w:kinsoku/>
        <w:wordWrap/>
        <w:overflowPunct/>
        <w:bidi w:val="0"/>
        <w:spacing w:line="560" w:lineRule="atLeast"/>
        <w:ind w:left="2" w:firstLine="537" w:firstLineChars="192"/>
        <w:textAlignment w:val="auto"/>
        <w:rPr>
          <w:rFonts w:ascii="仿宋_GB2312" w:hAnsi="宋体" w:eastAsia="仿宋_GB2312" w:cs="Arial"/>
          <w:sz w:val="28"/>
          <w:szCs w:val="28"/>
        </w:rPr>
      </w:pPr>
      <w:r>
        <w:rPr>
          <w:rFonts w:hint="eastAsia" w:ascii="仿宋_GB2312" w:hAnsi="宋体" w:eastAsia="仿宋_GB2312" w:cs="Arial"/>
          <w:sz w:val="28"/>
          <w:szCs w:val="28"/>
        </w:rPr>
        <w:t>3.报价含所有的人员人工费（包含餐补、社保）、办公费、（非污泥运输）车辆使用费、设备日常维护维修费、日常劳保用品购置费、企业利润、企业税金的所有含税费用。</w:t>
      </w:r>
    </w:p>
    <w:p>
      <w:pPr>
        <w:kinsoku/>
        <w:wordWrap/>
        <w:overflowPunct/>
        <w:bidi w:val="0"/>
        <w:spacing w:line="560" w:lineRule="atLeast"/>
        <w:ind w:firstLine="560" w:firstLineChars="200"/>
        <w:textAlignment w:val="auto"/>
        <w:rPr>
          <w:rFonts w:ascii="仿宋_GB2312" w:hAnsi="宋体" w:eastAsia="仿宋_GB2312" w:cs="Arial"/>
          <w:sz w:val="28"/>
          <w:szCs w:val="28"/>
        </w:rPr>
      </w:pPr>
      <w:r>
        <w:rPr>
          <w:rFonts w:hint="eastAsia" w:ascii="仿宋_GB2312" w:hAnsi="宋体" w:eastAsia="仿宋_GB2312" w:cs="Arial"/>
          <w:sz w:val="28"/>
          <w:szCs w:val="28"/>
        </w:rPr>
        <w:t>法定代表人或授权代表：</w:t>
      </w:r>
      <w:r>
        <w:rPr>
          <w:rFonts w:hint="eastAsia" w:ascii="仿宋_GB2312" w:hAnsi="宋体" w:eastAsia="仿宋_GB2312" w:cs="Arial"/>
          <w:sz w:val="28"/>
          <w:szCs w:val="28"/>
          <w:u w:val="single"/>
        </w:rPr>
        <w:t xml:space="preserve"> （签名）  </w:t>
      </w:r>
      <w:r>
        <w:rPr>
          <w:rFonts w:hint="eastAsia" w:ascii="仿宋_GB2312" w:hAnsi="仿宋" w:eastAsia="仿宋_GB2312"/>
          <w:sz w:val="28"/>
          <w:szCs w:val="28"/>
        </w:rPr>
        <w:tab/>
      </w:r>
      <w:r>
        <w:rPr>
          <w:rFonts w:hint="eastAsia" w:ascii="仿宋_GB2312" w:hAnsi="仿宋" w:eastAsia="仿宋_GB2312"/>
          <w:sz w:val="28"/>
          <w:szCs w:val="28"/>
        </w:rPr>
        <w:tab/>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宋体" w:eastAsia="仿宋_GB2312" w:cs="Arial"/>
          <w:sz w:val="28"/>
          <w:szCs w:val="28"/>
        </w:rPr>
        <w:t>供应商：</w:t>
      </w:r>
      <w:r>
        <w:rPr>
          <w:rFonts w:hint="eastAsia" w:ascii="仿宋_GB2312" w:hAnsi="宋体" w:eastAsia="仿宋_GB2312" w:cs="Arial"/>
          <w:sz w:val="28"/>
          <w:szCs w:val="28"/>
          <w:u w:val="single"/>
        </w:rPr>
        <w:t>（盖公章）</w:t>
      </w:r>
    </w:p>
    <w:p>
      <w:pPr>
        <w:kinsoku/>
        <w:wordWrap/>
        <w:overflowPunct/>
        <w:bidi w:val="0"/>
        <w:spacing w:line="560" w:lineRule="atLeast"/>
        <w:ind w:left="-420" w:leftChars="-200"/>
        <w:jc w:val="center"/>
        <w:textAlignment w:val="auto"/>
        <w:rPr>
          <w:rFonts w:ascii="仿宋_GB2312" w:hAnsi="仿宋" w:eastAsia="仿宋_GB2312"/>
          <w:sz w:val="28"/>
          <w:szCs w:val="28"/>
        </w:rPr>
      </w:pPr>
      <w:r>
        <w:rPr>
          <w:rFonts w:hint="eastAsia" w:ascii="仿宋_GB2312" w:hAnsi="仿宋" w:eastAsia="仿宋_GB2312"/>
          <w:sz w:val="28"/>
          <w:szCs w:val="28"/>
        </w:rPr>
        <w:t xml:space="preserve">                         年      月      日</w:t>
      </w:r>
    </w:p>
    <w:p>
      <w:pPr>
        <w:kinsoku/>
        <w:wordWrap/>
        <w:overflowPunct/>
        <w:bidi w:val="0"/>
        <w:spacing w:line="560" w:lineRule="atLeast"/>
        <w:jc w:val="both"/>
        <w:textAlignment w:val="auto"/>
        <w:rPr>
          <w:rFonts w:hint="eastAsia" w:ascii="仿宋_GB2312" w:hAnsi="仿宋" w:eastAsia="仿宋_GB2312"/>
          <w:b/>
          <w:sz w:val="28"/>
          <w:szCs w:val="28"/>
        </w:rPr>
      </w:pPr>
    </w:p>
    <w:p>
      <w:pPr>
        <w:kinsoku/>
        <w:wordWrap/>
        <w:overflowPunct/>
        <w:bidi w:val="0"/>
        <w:spacing w:line="560" w:lineRule="atLeast"/>
        <w:jc w:val="center"/>
        <w:textAlignment w:val="auto"/>
        <w:rPr>
          <w:rFonts w:ascii="仿宋_GB2312" w:hAnsi="仿宋" w:eastAsia="仿宋_GB2312"/>
          <w:b/>
          <w:sz w:val="28"/>
          <w:szCs w:val="28"/>
        </w:rPr>
      </w:pPr>
      <w:r>
        <w:rPr>
          <w:rFonts w:hint="eastAsia" w:ascii="仿宋_GB2312" w:hAnsi="仿宋" w:eastAsia="仿宋_GB2312"/>
          <w:b/>
          <w:sz w:val="28"/>
          <w:szCs w:val="28"/>
        </w:rPr>
        <w:t>第二次报价表（可调整）</w:t>
      </w:r>
    </w:p>
    <w:p>
      <w:pPr>
        <w:kinsoku/>
        <w:wordWrap/>
        <w:overflowPunct/>
        <w:bidi w:val="0"/>
        <w:spacing w:line="560" w:lineRule="atLeast"/>
        <w:textAlignment w:val="auto"/>
        <w:rPr>
          <w:rFonts w:ascii="仿宋_GB2312" w:hAnsi="仿宋" w:eastAsia="仿宋_GB2312"/>
          <w:sz w:val="28"/>
          <w:szCs w:val="28"/>
        </w:rPr>
      </w:pPr>
      <w:r>
        <w:rPr>
          <w:rFonts w:hint="eastAsia" w:ascii="仿宋_GB2312" w:hAnsi="仿宋" w:eastAsia="仿宋_GB2312"/>
          <w:sz w:val="28"/>
          <w:szCs w:val="28"/>
        </w:rPr>
        <w:t xml:space="preserve">项目编号：     </w:t>
      </w:r>
      <w:r>
        <w:rPr>
          <w:rFonts w:hint="eastAsia" w:ascii="仿宋_GB2312" w:hAnsi="仿宋" w:eastAsia="仿宋_GB2312"/>
          <w:sz w:val="28"/>
          <w:szCs w:val="28"/>
        </w:rPr>
        <w:tab/>
      </w:r>
      <w:r>
        <w:rPr>
          <w:rFonts w:hint="eastAsia" w:ascii="仿宋_GB2312" w:hAnsi="仿宋" w:eastAsia="仿宋_GB2312"/>
          <w:sz w:val="28"/>
          <w:szCs w:val="28"/>
        </w:rPr>
        <w:tab/>
      </w:r>
      <w:r>
        <w:rPr>
          <w:rFonts w:hint="eastAsia" w:ascii="仿宋_GB2312" w:hAnsi="仿宋" w:eastAsia="仿宋_GB2312"/>
          <w:sz w:val="28"/>
          <w:szCs w:val="28"/>
        </w:rPr>
        <w:tab/>
      </w:r>
      <w:r>
        <w:rPr>
          <w:rFonts w:hint="eastAsia" w:ascii="仿宋_GB2312" w:hAnsi="仿宋" w:eastAsia="仿宋_GB2312"/>
          <w:sz w:val="28"/>
          <w:szCs w:val="28"/>
        </w:rPr>
        <w:t xml:space="preserve">      </w:t>
      </w:r>
      <w:r>
        <w:rPr>
          <w:rFonts w:hint="eastAsia" w:ascii="仿宋_GB2312" w:hAnsi="仿宋" w:eastAsia="仿宋_GB2312"/>
          <w:sz w:val="28"/>
          <w:szCs w:val="28"/>
        </w:rPr>
        <w:tab/>
      </w:r>
      <w:r>
        <w:rPr>
          <w:rFonts w:hint="eastAsia" w:ascii="仿宋_GB2312" w:hAnsi="仿宋" w:eastAsia="仿宋_GB2312"/>
          <w:sz w:val="28"/>
          <w:szCs w:val="28"/>
        </w:rPr>
        <w:t xml:space="preserve">  </w:t>
      </w:r>
      <w:r>
        <w:rPr>
          <w:rFonts w:hint="eastAsia" w:ascii="仿宋_GB2312" w:hAnsi="仿宋" w:eastAsia="仿宋_GB2312"/>
          <w:sz w:val="28"/>
          <w:szCs w:val="28"/>
        </w:rPr>
        <w:tab/>
      </w:r>
      <w:r>
        <w:rPr>
          <w:rFonts w:hint="eastAsia" w:ascii="仿宋_GB2312" w:hAnsi="仿宋" w:eastAsia="仿宋_GB2312"/>
          <w:sz w:val="28"/>
          <w:szCs w:val="28"/>
        </w:rPr>
        <w:t>单位：元</w:t>
      </w:r>
    </w:p>
    <w:tbl>
      <w:tblPr>
        <w:tblStyle w:val="45"/>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856"/>
        <w:gridCol w:w="2551"/>
        <w:gridCol w:w="2694"/>
        <w:gridCol w:w="2724"/>
      </w:tblGrid>
      <w:tr>
        <w:tblPrEx>
          <w:tblCellMar>
            <w:top w:w="0" w:type="dxa"/>
            <w:left w:w="108" w:type="dxa"/>
            <w:bottom w:w="0" w:type="dxa"/>
            <w:right w:w="108" w:type="dxa"/>
          </w:tblCellMar>
        </w:tblPrEx>
        <w:trPr>
          <w:trHeight w:val="450"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cs="Arial"/>
                <w:sz w:val="24"/>
              </w:rPr>
            </w:pPr>
            <w:r>
              <w:rPr>
                <w:rFonts w:hint="eastAsia" w:ascii="仿宋_GB2312" w:hAnsi="仿宋" w:eastAsia="仿宋_GB2312" w:cs="Arial"/>
                <w:sz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cs="Arial"/>
                <w:sz w:val="24"/>
              </w:rPr>
            </w:pPr>
            <w:r>
              <w:rPr>
                <w:rFonts w:hint="eastAsia" w:ascii="仿宋_GB2312" w:hAnsi="仿宋" w:eastAsia="仿宋_GB2312" w:cs="Arial"/>
                <w:sz w:val="24"/>
              </w:rPr>
              <w:t>名称</w:t>
            </w:r>
          </w:p>
        </w:tc>
        <w:tc>
          <w:tcPr>
            <w:tcW w:w="269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cs="Arial"/>
                <w:sz w:val="24"/>
              </w:rPr>
            </w:pPr>
            <w:r>
              <w:rPr>
                <w:rFonts w:hint="eastAsia" w:ascii="仿宋_GB2312" w:hAnsi="仿宋" w:eastAsia="仿宋_GB2312" w:cs="Arial"/>
                <w:sz w:val="24"/>
              </w:rPr>
              <w:t>价格</w:t>
            </w:r>
          </w:p>
        </w:tc>
        <w:tc>
          <w:tcPr>
            <w:tcW w:w="272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cs="Arial"/>
                <w:sz w:val="24"/>
              </w:rPr>
            </w:pPr>
            <w:r>
              <w:rPr>
                <w:rFonts w:hint="eastAsia" w:ascii="仿宋_GB2312" w:hAnsi="仿宋" w:eastAsia="仿宋_GB2312" w:cs="Arial"/>
                <w:sz w:val="24"/>
              </w:rPr>
              <w:t>备注</w:t>
            </w:r>
          </w:p>
        </w:tc>
      </w:tr>
      <w:tr>
        <w:tblPrEx>
          <w:tblCellMar>
            <w:top w:w="0" w:type="dxa"/>
            <w:left w:w="108" w:type="dxa"/>
            <w:bottom w:w="0" w:type="dxa"/>
            <w:right w:w="108" w:type="dxa"/>
          </w:tblCellMar>
        </w:tblPrEx>
        <w:trPr>
          <w:trHeight w:val="793" w:hRule="atLeast"/>
        </w:trPr>
        <w:tc>
          <w:tcPr>
            <w:tcW w:w="856"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551"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69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kern w:val="0"/>
                <w:sz w:val="24"/>
              </w:rPr>
            </w:pPr>
          </w:p>
        </w:tc>
        <w:tc>
          <w:tcPr>
            <w:tcW w:w="2724" w:type="dxa"/>
            <w:tcBorders>
              <w:top w:val="nil"/>
              <w:left w:val="nil"/>
              <w:bottom w:val="single" w:color="auto" w:sz="4" w:space="0"/>
              <w:right w:val="single" w:color="auto" w:sz="4" w:space="0"/>
            </w:tcBorders>
            <w:vAlign w:val="bottom"/>
          </w:tcPr>
          <w:p>
            <w:pPr>
              <w:widowControl/>
              <w:kinsoku/>
              <w:wordWrap/>
              <w:overflowPunct/>
              <w:bidi w:val="0"/>
              <w:spacing w:line="560" w:lineRule="atLeast"/>
              <w:jc w:val="right"/>
              <w:textAlignment w:val="auto"/>
              <w:rPr>
                <w:rFonts w:ascii="仿宋_GB2312" w:hAnsi="仿宋" w:eastAsia="仿宋_GB2312" w:cs="Arial"/>
                <w:kern w:val="0"/>
                <w:sz w:val="24"/>
              </w:rPr>
            </w:pPr>
          </w:p>
        </w:tc>
      </w:tr>
      <w:tr>
        <w:trPr>
          <w:trHeight w:val="793" w:hRule="atLeast"/>
        </w:trPr>
        <w:tc>
          <w:tcPr>
            <w:tcW w:w="856"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551"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69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kern w:val="0"/>
                <w:sz w:val="24"/>
              </w:rPr>
            </w:pPr>
          </w:p>
        </w:tc>
        <w:tc>
          <w:tcPr>
            <w:tcW w:w="2724" w:type="dxa"/>
            <w:tcBorders>
              <w:top w:val="nil"/>
              <w:left w:val="nil"/>
              <w:bottom w:val="single" w:color="auto" w:sz="4" w:space="0"/>
              <w:right w:val="single" w:color="auto" w:sz="4" w:space="0"/>
            </w:tcBorders>
            <w:vAlign w:val="bottom"/>
          </w:tcPr>
          <w:p>
            <w:pPr>
              <w:widowControl/>
              <w:kinsoku/>
              <w:wordWrap/>
              <w:overflowPunct/>
              <w:bidi w:val="0"/>
              <w:spacing w:line="560" w:lineRule="atLeast"/>
              <w:jc w:val="right"/>
              <w:textAlignment w:val="auto"/>
              <w:rPr>
                <w:rFonts w:ascii="仿宋_GB2312" w:hAnsi="仿宋" w:eastAsia="仿宋_GB2312" w:cs="Arial"/>
                <w:kern w:val="0"/>
                <w:sz w:val="24"/>
              </w:rPr>
            </w:pPr>
          </w:p>
        </w:tc>
      </w:tr>
      <w:tr>
        <w:tblPrEx>
          <w:tblCellMar>
            <w:top w:w="0" w:type="dxa"/>
            <w:left w:w="108" w:type="dxa"/>
            <w:bottom w:w="0" w:type="dxa"/>
            <w:right w:w="108" w:type="dxa"/>
          </w:tblCellMar>
        </w:tblPrEx>
        <w:trPr>
          <w:trHeight w:val="793" w:hRule="atLeast"/>
        </w:trPr>
        <w:tc>
          <w:tcPr>
            <w:tcW w:w="856"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551"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69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kern w:val="0"/>
                <w:sz w:val="24"/>
              </w:rPr>
            </w:pPr>
          </w:p>
        </w:tc>
        <w:tc>
          <w:tcPr>
            <w:tcW w:w="2724" w:type="dxa"/>
            <w:tcBorders>
              <w:top w:val="nil"/>
              <w:left w:val="nil"/>
              <w:bottom w:val="single" w:color="auto" w:sz="4" w:space="0"/>
              <w:right w:val="single" w:color="auto" w:sz="4" w:space="0"/>
            </w:tcBorders>
            <w:vAlign w:val="bottom"/>
          </w:tcPr>
          <w:p>
            <w:pPr>
              <w:widowControl/>
              <w:kinsoku/>
              <w:wordWrap/>
              <w:overflowPunct/>
              <w:bidi w:val="0"/>
              <w:spacing w:line="560" w:lineRule="atLeast"/>
              <w:jc w:val="right"/>
              <w:textAlignment w:val="auto"/>
              <w:rPr>
                <w:rFonts w:ascii="仿宋_GB2312" w:hAnsi="仿宋" w:eastAsia="仿宋_GB2312" w:cs="Arial"/>
                <w:kern w:val="0"/>
                <w:sz w:val="24"/>
              </w:rPr>
            </w:pPr>
          </w:p>
        </w:tc>
      </w:tr>
      <w:tr>
        <w:tblPrEx>
          <w:tblCellMar>
            <w:top w:w="0" w:type="dxa"/>
            <w:left w:w="108" w:type="dxa"/>
            <w:bottom w:w="0" w:type="dxa"/>
            <w:right w:w="108" w:type="dxa"/>
          </w:tblCellMar>
        </w:tblPrEx>
        <w:trPr>
          <w:trHeight w:val="793" w:hRule="atLeast"/>
        </w:trPr>
        <w:tc>
          <w:tcPr>
            <w:tcW w:w="856"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551"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69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kern w:val="0"/>
                <w:sz w:val="24"/>
              </w:rPr>
            </w:pPr>
          </w:p>
        </w:tc>
        <w:tc>
          <w:tcPr>
            <w:tcW w:w="2724" w:type="dxa"/>
            <w:tcBorders>
              <w:top w:val="nil"/>
              <w:left w:val="nil"/>
              <w:bottom w:val="single" w:color="auto" w:sz="4" w:space="0"/>
              <w:right w:val="single" w:color="auto" w:sz="4" w:space="0"/>
            </w:tcBorders>
            <w:vAlign w:val="bottom"/>
          </w:tcPr>
          <w:p>
            <w:pPr>
              <w:widowControl/>
              <w:kinsoku/>
              <w:wordWrap/>
              <w:overflowPunct/>
              <w:bidi w:val="0"/>
              <w:spacing w:line="560" w:lineRule="atLeast"/>
              <w:jc w:val="right"/>
              <w:textAlignment w:val="auto"/>
              <w:rPr>
                <w:rFonts w:ascii="仿宋_GB2312" w:hAnsi="仿宋" w:eastAsia="仿宋_GB2312" w:cs="Arial"/>
                <w:kern w:val="0"/>
                <w:sz w:val="24"/>
              </w:rPr>
            </w:pPr>
          </w:p>
        </w:tc>
      </w:tr>
      <w:tr>
        <w:tblPrEx>
          <w:tblCellMar>
            <w:top w:w="0" w:type="dxa"/>
            <w:left w:w="108" w:type="dxa"/>
            <w:bottom w:w="0" w:type="dxa"/>
            <w:right w:w="108" w:type="dxa"/>
          </w:tblCellMar>
        </w:tblPrEx>
        <w:trPr>
          <w:trHeight w:val="793" w:hRule="atLeast"/>
        </w:trPr>
        <w:tc>
          <w:tcPr>
            <w:tcW w:w="856"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551" w:type="dxa"/>
            <w:tcBorders>
              <w:top w:val="nil"/>
              <w:left w:val="single" w:color="auto" w:sz="4" w:space="0"/>
              <w:bottom w:val="single" w:color="auto" w:sz="4" w:space="0"/>
              <w:right w:val="single" w:color="auto" w:sz="4" w:space="0"/>
            </w:tcBorders>
          </w:tcPr>
          <w:p>
            <w:pPr>
              <w:kinsoku/>
              <w:wordWrap/>
              <w:overflowPunct/>
              <w:bidi w:val="0"/>
              <w:spacing w:line="560" w:lineRule="atLeast"/>
              <w:textAlignment w:val="auto"/>
              <w:rPr>
                <w:rFonts w:ascii="仿宋_GB2312" w:hAnsi="仿宋" w:eastAsia="仿宋_GB2312" w:cs="Arial"/>
                <w:sz w:val="24"/>
              </w:rPr>
            </w:pPr>
          </w:p>
        </w:tc>
        <w:tc>
          <w:tcPr>
            <w:tcW w:w="2694" w:type="dxa"/>
            <w:tcBorders>
              <w:top w:val="single" w:color="auto" w:sz="4" w:space="0"/>
              <w:left w:val="nil"/>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仿宋_GB2312" w:hAnsi="仿宋" w:eastAsia="仿宋_GB2312"/>
                <w:kern w:val="0"/>
                <w:sz w:val="24"/>
              </w:rPr>
            </w:pPr>
          </w:p>
        </w:tc>
        <w:tc>
          <w:tcPr>
            <w:tcW w:w="2724" w:type="dxa"/>
            <w:tcBorders>
              <w:top w:val="nil"/>
              <w:left w:val="nil"/>
              <w:bottom w:val="single" w:color="auto" w:sz="4" w:space="0"/>
              <w:right w:val="single" w:color="auto" w:sz="4" w:space="0"/>
            </w:tcBorders>
            <w:vAlign w:val="bottom"/>
          </w:tcPr>
          <w:p>
            <w:pPr>
              <w:widowControl/>
              <w:kinsoku/>
              <w:wordWrap/>
              <w:overflowPunct/>
              <w:bidi w:val="0"/>
              <w:spacing w:line="560" w:lineRule="atLeast"/>
              <w:jc w:val="right"/>
              <w:textAlignment w:val="auto"/>
              <w:rPr>
                <w:rFonts w:ascii="仿宋_GB2312" w:hAnsi="仿宋" w:eastAsia="仿宋_GB2312" w:cs="Arial"/>
                <w:kern w:val="0"/>
                <w:sz w:val="24"/>
              </w:rPr>
            </w:pPr>
          </w:p>
        </w:tc>
      </w:tr>
      <w:tr>
        <w:tblPrEx>
          <w:tblCellMar>
            <w:top w:w="0" w:type="dxa"/>
            <w:left w:w="108" w:type="dxa"/>
            <w:bottom w:w="0" w:type="dxa"/>
            <w:right w:w="108" w:type="dxa"/>
          </w:tblCellMar>
        </w:tblPrEx>
        <w:trPr>
          <w:trHeight w:val="450" w:hRule="atLeast"/>
        </w:trPr>
        <w:tc>
          <w:tcPr>
            <w:tcW w:w="3407" w:type="dxa"/>
            <w:gridSpan w:val="2"/>
            <w:tcBorders>
              <w:top w:val="nil"/>
              <w:left w:val="single" w:color="auto" w:sz="4" w:space="0"/>
              <w:bottom w:val="single" w:color="auto" w:sz="4" w:space="0"/>
              <w:right w:val="single" w:color="auto" w:sz="4" w:space="0"/>
            </w:tcBorders>
            <w:shd w:val="clear" w:color="auto" w:fill="auto"/>
            <w:vAlign w:val="center"/>
          </w:tcPr>
          <w:p>
            <w:pPr>
              <w:kinsoku/>
              <w:wordWrap/>
              <w:overflowPunct/>
              <w:bidi w:val="0"/>
              <w:spacing w:line="560" w:lineRule="atLeast"/>
              <w:textAlignment w:val="auto"/>
              <w:rPr>
                <w:rFonts w:ascii="仿宋_GB2312" w:hAnsi="仿宋" w:eastAsia="仿宋_GB2312" w:cs="Arial"/>
                <w:sz w:val="24"/>
              </w:rPr>
            </w:pPr>
            <w:r>
              <w:rPr>
                <w:rFonts w:hint="eastAsia" w:ascii="仿宋_GB2312" w:hAnsi="仿宋" w:eastAsia="仿宋_GB2312" w:cs="Arial"/>
                <w:sz w:val="24"/>
              </w:rPr>
              <w:t>合计金额</w:t>
            </w:r>
          </w:p>
        </w:tc>
        <w:tc>
          <w:tcPr>
            <w:tcW w:w="5418" w:type="dxa"/>
            <w:gridSpan w:val="2"/>
            <w:tcBorders>
              <w:top w:val="nil"/>
              <w:left w:val="nil"/>
              <w:bottom w:val="single" w:color="auto" w:sz="4" w:space="0"/>
              <w:right w:val="single" w:color="auto" w:sz="4" w:space="0"/>
            </w:tcBorders>
            <w:shd w:val="clear" w:color="auto" w:fill="FFFFFF"/>
            <w:vAlign w:val="center"/>
          </w:tcPr>
          <w:p>
            <w:pPr>
              <w:widowControl/>
              <w:kinsoku/>
              <w:wordWrap/>
              <w:overflowPunct/>
              <w:bidi w:val="0"/>
              <w:spacing w:line="560" w:lineRule="atLeast"/>
              <w:textAlignment w:val="auto"/>
              <w:rPr>
                <w:rFonts w:ascii="仿宋_GB2312" w:hAnsi="仿宋" w:eastAsia="仿宋_GB2312" w:cs="Arial"/>
                <w:kern w:val="0"/>
                <w:sz w:val="24"/>
              </w:rPr>
            </w:pPr>
            <w:r>
              <w:rPr>
                <w:rFonts w:hint="eastAsia" w:ascii="仿宋_GB2312" w:hAnsi="仿宋" w:eastAsia="仿宋_GB2312" w:cs="Arial"/>
                <w:sz w:val="24"/>
              </w:rPr>
              <w:t>（小写）</w:t>
            </w:r>
          </w:p>
        </w:tc>
      </w:tr>
      <w:tr>
        <w:tblPrEx>
          <w:tblCellMar>
            <w:top w:w="0" w:type="dxa"/>
            <w:left w:w="108" w:type="dxa"/>
            <w:bottom w:w="0" w:type="dxa"/>
            <w:right w:w="108" w:type="dxa"/>
          </w:tblCellMar>
        </w:tblPrEx>
        <w:trPr>
          <w:trHeight w:val="450" w:hRule="atLeast"/>
        </w:trPr>
        <w:tc>
          <w:tcPr>
            <w:tcW w:w="3407" w:type="dxa"/>
            <w:gridSpan w:val="2"/>
            <w:tcBorders>
              <w:top w:val="nil"/>
              <w:left w:val="single" w:color="auto" w:sz="4" w:space="0"/>
              <w:bottom w:val="single" w:color="auto" w:sz="4" w:space="0"/>
              <w:right w:val="single" w:color="auto" w:sz="4" w:space="0"/>
            </w:tcBorders>
            <w:shd w:val="clear" w:color="auto" w:fill="auto"/>
            <w:vAlign w:val="center"/>
          </w:tcPr>
          <w:p>
            <w:pPr>
              <w:kinsoku/>
              <w:wordWrap/>
              <w:overflowPunct/>
              <w:bidi w:val="0"/>
              <w:spacing w:line="560" w:lineRule="atLeast"/>
              <w:textAlignment w:val="auto"/>
              <w:rPr>
                <w:rFonts w:ascii="仿宋_GB2312" w:hAnsi="仿宋" w:eastAsia="仿宋_GB2312" w:cs="Arial"/>
                <w:sz w:val="24"/>
              </w:rPr>
            </w:pPr>
            <w:r>
              <w:rPr>
                <w:rFonts w:hint="eastAsia" w:ascii="仿宋_GB2312" w:hAnsi="仿宋" w:eastAsia="仿宋_GB2312" w:cs="Arial"/>
                <w:sz w:val="24"/>
              </w:rPr>
              <w:t>合计金额</w:t>
            </w:r>
          </w:p>
        </w:tc>
        <w:tc>
          <w:tcPr>
            <w:tcW w:w="5418" w:type="dxa"/>
            <w:gridSpan w:val="2"/>
            <w:tcBorders>
              <w:top w:val="single" w:color="auto" w:sz="4" w:space="0"/>
              <w:left w:val="nil"/>
              <w:bottom w:val="single" w:color="auto" w:sz="4" w:space="0"/>
              <w:right w:val="single" w:color="auto" w:sz="4" w:space="0"/>
            </w:tcBorders>
            <w:shd w:val="clear" w:color="auto" w:fill="FFFFFF"/>
            <w:vAlign w:val="bottom"/>
          </w:tcPr>
          <w:p>
            <w:pPr>
              <w:kinsoku/>
              <w:wordWrap/>
              <w:overflowPunct/>
              <w:bidi w:val="0"/>
              <w:spacing w:line="560" w:lineRule="atLeast"/>
              <w:textAlignment w:val="auto"/>
              <w:rPr>
                <w:rFonts w:ascii="仿宋_GB2312" w:hAnsi="仿宋" w:eastAsia="仿宋_GB2312" w:cs="Arial"/>
                <w:sz w:val="24"/>
              </w:rPr>
            </w:pPr>
            <w:r>
              <w:rPr>
                <w:rFonts w:hint="eastAsia" w:ascii="仿宋_GB2312" w:hAnsi="仿宋" w:eastAsia="仿宋_GB2312" w:cs="Arial"/>
                <w:sz w:val="24"/>
              </w:rPr>
              <w:t>（大写）</w:t>
            </w:r>
          </w:p>
        </w:tc>
      </w:tr>
    </w:tbl>
    <w:p>
      <w:pPr>
        <w:kinsoku/>
        <w:wordWrap/>
        <w:overflowPunct/>
        <w:bidi w:val="0"/>
        <w:spacing w:line="560" w:lineRule="atLeast"/>
        <w:ind w:firstLine="420"/>
        <w:textAlignment w:val="auto"/>
        <w:rPr>
          <w:rFonts w:ascii="仿宋_GB2312" w:hAnsi="宋体" w:eastAsia="仿宋_GB2312" w:cs="Arial"/>
          <w:sz w:val="28"/>
          <w:szCs w:val="28"/>
        </w:rPr>
      </w:pPr>
      <w:r>
        <w:rPr>
          <w:rFonts w:hint="eastAsia" w:ascii="仿宋_GB2312" w:hAnsi="宋体" w:eastAsia="仿宋_GB2312" w:cs="Arial"/>
          <w:sz w:val="28"/>
          <w:szCs w:val="28"/>
        </w:rPr>
        <w:t>注：</w:t>
      </w:r>
    </w:p>
    <w:p>
      <w:pPr>
        <w:kinsoku/>
        <w:wordWrap/>
        <w:overflowPunct/>
        <w:bidi w:val="0"/>
        <w:spacing w:line="560" w:lineRule="atLeast"/>
        <w:ind w:left="2" w:firstLine="537" w:firstLineChars="192"/>
        <w:textAlignment w:val="auto"/>
        <w:rPr>
          <w:rFonts w:ascii="仿宋_GB2312" w:hAnsi="宋体" w:eastAsia="仿宋_GB2312" w:cs="Arial"/>
          <w:sz w:val="28"/>
          <w:szCs w:val="28"/>
        </w:rPr>
      </w:pPr>
      <w:r>
        <w:rPr>
          <w:rFonts w:hint="eastAsia" w:ascii="仿宋_GB2312" w:hAnsi="宋体" w:eastAsia="仿宋_GB2312" w:cs="Arial"/>
          <w:sz w:val="28"/>
          <w:szCs w:val="28"/>
        </w:rPr>
        <w:t>1. 若报价金额大、小写有差异，则以大写金额为准；</w:t>
      </w:r>
    </w:p>
    <w:p>
      <w:pPr>
        <w:tabs>
          <w:tab w:val="left" w:pos="6720"/>
          <w:tab w:val="left" w:pos="6870"/>
        </w:tabs>
        <w:kinsoku/>
        <w:wordWrap/>
        <w:overflowPunct/>
        <w:bidi w:val="0"/>
        <w:spacing w:line="560" w:lineRule="atLeast"/>
        <w:ind w:firstLine="560" w:firstLineChars="200"/>
        <w:textAlignment w:val="auto"/>
        <w:rPr>
          <w:rFonts w:ascii="仿宋_GB2312" w:hAnsi="宋体" w:eastAsia="仿宋_GB2312" w:cs="Arial"/>
          <w:sz w:val="28"/>
          <w:szCs w:val="28"/>
        </w:rPr>
      </w:pPr>
      <w:r>
        <w:rPr>
          <w:rFonts w:hint="eastAsia" w:ascii="仿宋_GB2312" w:hAnsi="宋体" w:eastAsia="仿宋_GB2312" w:cs="Arial"/>
          <w:sz w:val="28"/>
          <w:szCs w:val="28"/>
        </w:rPr>
        <w:t>2．供应商报价中应包含项目所有有关的费用，如供应商在项目实施中产生新的费用由供应商自行解决并承担相关费用。</w:t>
      </w:r>
    </w:p>
    <w:p>
      <w:pPr>
        <w:tabs>
          <w:tab w:val="left" w:pos="6720"/>
          <w:tab w:val="left" w:pos="6870"/>
        </w:tabs>
        <w:kinsoku/>
        <w:wordWrap/>
        <w:overflowPunct/>
        <w:bidi w:val="0"/>
        <w:spacing w:line="560" w:lineRule="atLeast"/>
        <w:ind w:firstLine="560" w:firstLineChars="200"/>
        <w:textAlignment w:val="auto"/>
        <w:rPr>
          <w:rFonts w:ascii="仿宋_GB2312" w:hAnsi="宋体" w:eastAsia="仿宋_GB2312" w:cs="Arial"/>
          <w:sz w:val="28"/>
          <w:szCs w:val="28"/>
        </w:rPr>
      </w:pPr>
      <w:r>
        <w:rPr>
          <w:rFonts w:hint="eastAsia" w:ascii="仿宋_GB2312" w:hAnsi="宋体" w:eastAsia="仿宋_GB2312" w:cs="Arial"/>
          <w:sz w:val="28"/>
          <w:szCs w:val="28"/>
        </w:rPr>
        <w:t>3.报价含所有的人员人工费（包含餐补、社保）、办公费、（非污泥运输）车辆使用费、设备日常维护维修费、日常劳保用品购置费、企业利润、企业税金的所有含税费用。</w:t>
      </w:r>
    </w:p>
    <w:p>
      <w:pPr>
        <w:tabs>
          <w:tab w:val="left" w:pos="6720"/>
          <w:tab w:val="left" w:pos="6870"/>
        </w:tabs>
        <w:kinsoku/>
        <w:wordWrap/>
        <w:overflowPunct/>
        <w:bidi w:val="0"/>
        <w:spacing w:line="560" w:lineRule="atLeast"/>
        <w:ind w:firstLine="560" w:firstLineChars="200"/>
        <w:textAlignment w:val="auto"/>
        <w:rPr>
          <w:rFonts w:ascii="仿宋_GB2312" w:hAnsi="宋体" w:eastAsia="仿宋_GB2312" w:cs="Arial"/>
          <w:sz w:val="28"/>
          <w:szCs w:val="28"/>
        </w:rPr>
      </w:pPr>
      <w:r>
        <w:rPr>
          <w:rFonts w:hint="eastAsia" w:ascii="仿宋_GB2312" w:hAnsi="宋体" w:eastAsia="仿宋_GB2312" w:cs="Arial"/>
          <w:sz w:val="28"/>
          <w:szCs w:val="28"/>
        </w:rPr>
        <w:t>4.第二次报价为竞争性谈判现场填报。</w:t>
      </w:r>
    </w:p>
    <w:p>
      <w:pPr>
        <w:kinsoku/>
        <w:wordWrap/>
        <w:overflowPunct/>
        <w:bidi w:val="0"/>
        <w:spacing w:line="560" w:lineRule="atLeast"/>
        <w:ind w:firstLine="560" w:firstLineChars="200"/>
        <w:textAlignment w:val="auto"/>
        <w:rPr>
          <w:rFonts w:ascii="仿宋_GB2312" w:hAnsi="宋体" w:eastAsia="仿宋_GB2312" w:cs="Arial"/>
          <w:sz w:val="28"/>
          <w:szCs w:val="28"/>
        </w:rPr>
      </w:pPr>
      <w:r>
        <w:rPr>
          <w:rFonts w:hint="eastAsia" w:ascii="仿宋_GB2312" w:hAnsi="宋体" w:eastAsia="仿宋_GB2312" w:cs="Arial"/>
          <w:sz w:val="28"/>
          <w:szCs w:val="28"/>
        </w:rPr>
        <w:t>法定代表人或授权代表：</w:t>
      </w:r>
      <w:r>
        <w:rPr>
          <w:rFonts w:hint="eastAsia" w:ascii="仿宋_GB2312" w:hAnsi="宋体" w:eastAsia="仿宋_GB2312" w:cs="Arial"/>
          <w:sz w:val="28"/>
          <w:szCs w:val="28"/>
          <w:u w:val="single"/>
        </w:rPr>
        <w:t xml:space="preserve"> （签名）  </w:t>
      </w:r>
      <w:r>
        <w:rPr>
          <w:rFonts w:hint="eastAsia" w:ascii="仿宋_GB2312" w:hAnsi="仿宋" w:eastAsia="仿宋_GB2312"/>
          <w:sz w:val="28"/>
          <w:szCs w:val="28"/>
        </w:rPr>
        <w:tab/>
      </w:r>
      <w:r>
        <w:rPr>
          <w:rFonts w:hint="eastAsia" w:ascii="仿宋_GB2312" w:hAnsi="仿宋" w:eastAsia="仿宋_GB2312"/>
          <w:sz w:val="28"/>
          <w:szCs w:val="28"/>
        </w:rPr>
        <w:tab/>
      </w:r>
    </w:p>
    <w:p>
      <w:pPr>
        <w:kinsoku/>
        <w:wordWrap/>
        <w:overflowPunct/>
        <w:bidi w:val="0"/>
        <w:spacing w:line="560" w:lineRule="atLeast"/>
        <w:ind w:firstLine="560" w:firstLineChars="200"/>
        <w:textAlignment w:val="auto"/>
        <w:rPr>
          <w:rFonts w:ascii="仿宋_GB2312" w:hAnsi="仿宋" w:eastAsia="仿宋_GB2312"/>
          <w:sz w:val="28"/>
          <w:szCs w:val="28"/>
        </w:rPr>
      </w:pPr>
      <w:r>
        <w:rPr>
          <w:rFonts w:hint="eastAsia" w:ascii="仿宋_GB2312" w:hAnsi="宋体" w:eastAsia="仿宋_GB2312" w:cs="Arial"/>
          <w:sz w:val="28"/>
          <w:szCs w:val="28"/>
        </w:rPr>
        <w:t>供应商：</w:t>
      </w:r>
      <w:r>
        <w:rPr>
          <w:rFonts w:hint="eastAsia" w:ascii="仿宋_GB2312" w:hAnsi="宋体" w:eastAsia="仿宋_GB2312" w:cs="Arial"/>
          <w:sz w:val="28"/>
          <w:szCs w:val="28"/>
          <w:u w:val="single"/>
        </w:rPr>
        <w:t>（盖公章）</w:t>
      </w:r>
    </w:p>
    <w:p>
      <w:pPr>
        <w:kinsoku/>
        <w:wordWrap/>
        <w:overflowPunct/>
        <w:bidi w:val="0"/>
        <w:spacing w:line="560" w:lineRule="atLeast"/>
        <w:ind w:left="-420" w:leftChars="-200"/>
        <w:jc w:val="center"/>
        <w:textAlignment w:val="auto"/>
        <w:rPr>
          <w:rFonts w:hint="eastAsia"/>
        </w:rPr>
      </w:pPr>
      <w:r>
        <w:rPr>
          <w:rFonts w:hint="eastAsia" w:ascii="仿宋_GB2312" w:hAnsi="仿宋" w:eastAsia="仿宋_GB2312"/>
          <w:sz w:val="28"/>
          <w:szCs w:val="28"/>
        </w:rPr>
        <w:t xml:space="preserve">                        年      月      日</w:t>
      </w:r>
    </w:p>
    <w:p>
      <w:pPr>
        <w:pStyle w:val="2"/>
        <w:kinsoku/>
        <w:wordWrap/>
        <w:overflowPunct/>
        <w:bidi w:val="0"/>
        <w:spacing w:line="560" w:lineRule="atLeast"/>
        <w:textAlignment w:val="auto"/>
      </w:pPr>
      <w:r>
        <w:rPr>
          <w:rFonts w:hint="eastAsia"/>
        </w:rPr>
        <w:t>三、商务文件</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（一）商务文件封面格式</w:t>
      </w:r>
    </w:p>
    <w:p>
      <w:pPr>
        <w:pStyle w:val="56"/>
        <w:kinsoku/>
        <w:wordWrap/>
        <w:overflowPunct/>
        <w:bidi w:val="0"/>
        <w:spacing w:before="0" w:after="0" w:line="560" w:lineRule="atLeast"/>
        <w:ind w:left="1386"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s="仿宋"/>
          <w:bCs/>
          <w:color w:val="000000" w:themeColor="text1"/>
          <w:sz w:val="28"/>
          <w:szCs w:val="28"/>
          <w14:textFill>
            <w14:solidFill>
              <w14:schemeClr w14:val="tx1"/>
            </w14:solidFill>
          </w14:textFill>
        </w:rPr>
        <w:t>南部县国润排水有限公司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仪陇国润排水有限公司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南充国润排水有限公司</w:t>
      </w:r>
    </w:p>
    <w:p>
      <w:pPr>
        <w:pStyle w:val="39"/>
        <w:kinsoku/>
        <w:wordWrap/>
        <w:overflowPunct/>
        <w:bidi w:val="0"/>
        <w:spacing w:line="560" w:lineRule="atLeas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南充国润荆溪排水有限公司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遂宁国润排水有限公司</w:t>
      </w:r>
    </w:p>
    <w:p>
      <w:pPr>
        <w:pStyle w:val="56"/>
        <w:kinsoku/>
        <w:wordWrap/>
        <w:overflowPunct/>
        <w:bidi w:val="0"/>
        <w:spacing w:before="0" w:after="0" w:line="560" w:lineRule="atLeast"/>
        <w:ind w:firstLine="0"/>
        <w:jc w:val="left"/>
        <w:textAlignment w:val="auto"/>
        <w:rPr>
          <w:rFonts w:ascii="仿宋_GB2312" w:hAnsi="仿宋" w:eastAsia="仿宋_GB2312"/>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72"/>
          <w:szCs w:val="72"/>
        </w:rPr>
      </w:pPr>
      <w:r>
        <w:rPr>
          <w:rFonts w:hint="eastAsia" w:ascii="仿宋_GB2312" w:hAnsi="仿宋" w:eastAsia="仿宋_GB2312"/>
          <w:sz w:val="72"/>
          <w:szCs w:val="72"/>
        </w:rPr>
        <w:t>商务文件</w:t>
      </w:r>
    </w:p>
    <w:p>
      <w:pPr>
        <w:kinsoku/>
        <w:wordWrap/>
        <w:overflowPunct/>
        <w:bidi w:val="0"/>
        <w:spacing w:line="560" w:lineRule="atLeast"/>
        <w:ind w:left="-420" w:leftChars="-200" w:firstLine="1820" w:firstLineChars="650"/>
        <w:textAlignment w:val="auto"/>
        <w:rPr>
          <w:rFonts w:ascii="仿宋_GB2312" w:hAnsi="仿宋" w:eastAsia="仿宋_GB2312"/>
          <w:sz w:val="28"/>
          <w:szCs w:val="28"/>
        </w:rPr>
      </w:pPr>
    </w:p>
    <w:p>
      <w:pPr>
        <w:kinsoku/>
        <w:wordWrap/>
        <w:overflowPunct/>
        <w:bidi w:val="0"/>
        <w:spacing w:line="560" w:lineRule="atLeast"/>
        <w:ind w:left="-420" w:leftChars="-200" w:firstLine="1820" w:firstLineChars="650"/>
        <w:textAlignment w:val="auto"/>
        <w:rPr>
          <w:rFonts w:ascii="仿宋_GB2312" w:hAnsi="仿宋" w:eastAsia="仿宋_GB2312"/>
          <w:sz w:val="28"/>
          <w:szCs w:val="28"/>
        </w:rPr>
      </w:pPr>
      <w:r>
        <w:rPr>
          <w:rFonts w:hint="eastAsia" w:ascii="仿宋_GB2312" w:hAnsi="仿宋" w:eastAsia="仿宋_GB2312"/>
          <w:sz w:val="28"/>
          <w:szCs w:val="28"/>
        </w:rPr>
        <w:t>项目编号：</w:t>
      </w:r>
    </w:p>
    <w:p>
      <w:pPr>
        <w:kinsoku/>
        <w:wordWrap/>
        <w:overflowPunct/>
        <w:bidi w:val="0"/>
        <w:spacing w:line="560" w:lineRule="atLeast"/>
        <w:ind w:left="-420" w:leftChars="-200" w:firstLine="1820" w:firstLineChars="650"/>
        <w:textAlignment w:val="auto"/>
        <w:rPr>
          <w:rFonts w:ascii="仿宋_GB2312" w:hAnsi="仿宋" w:eastAsia="仿宋_GB2312"/>
          <w:sz w:val="28"/>
          <w:szCs w:val="28"/>
        </w:rPr>
      </w:pPr>
      <w:r>
        <w:rPr>
          <w:rFonts w:hint="eastAsia" w:ascii="仿宋_GB2312" w:hAnsi="仿宋" w:eastAsia="仿宋_GB2312"/>
          <w:sz w:val="28"/>
          <w:szCs w:val="28"/>
        </w:rPr>
        <w:t>项目名称：</w:t>
      </w:r>
    </w:p>
    <w:p>
      <w:pPr>
        <w:kinsoku/>
        <w:wordWrap/>
        <w:overflowPunct/>
        <w:bidi w:val="0"/>
        <w:spacing w:line="560" w:lineRule="atLeast"/>
        <w:ind w:left="-420" w:leftChars="-200" w:firstLine="1820" w:firstLineChars="650"/>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r>
        <w:rPr>
          <w:rFonts w:hint="eastAsia" w:ascii="仿宋_GB2312" w:hAnsi="仿宋" w:eastAsia="仿宋_GB2312"/>
          <w:sz w:val="28"/>
          <w:szCs w:val="28"/>
        </w:rPr>
        <w:t>法定代表人或授权代理人签字：</w:t>
      </w:r>
    </w:p>
    <w:p>
      <w:pPr>
        <w:kinsoku/>
        <w:wordWrap/>
        <w:overflowPunct/>
        <w:bidi w:val="0"/>
        <w:spacing w:line="560" w:lineRule="atLeast"/>
        <w:ind w:firstLine="2520" w:firstLineChars="900"/>
        <w:textAlignment w:val="auto"/>
        <w:rPr>
          <w:rFonts w:ascii="仿宋_GB2312" w:hAnsi="仿宋" w:eastAsia="仿宋_GB2312"/>
          <w:sz w:val="28"/>
          <w:szCs w:val="28"/>
        </w:rPr>
      </w:pPr>
    </w:p>
    <w:p>
      <w:pPr>
        <w:kinsoku/>
        <w:wordWrap/>
        <w:overflowPunct/>
        <w:bidi w:val="0"/>
        <w:spacing w:line="560" w:lineRule="atLeast"/>
        <w:ind w:firstLine="2520" w:firstLineChars="900"/>
        <w:textAlignment w:val="auto"/>
        <w:rPr>
          <w:rFonts w:ascii="仿宋_GB2312" w:hAnsi="仿宋" w:eastAsia="仿宋_GB2312"/>
          <w:sz w:val="28"/>
          <w:szCs w:val="28"/>
        </w:rPr>
      </w:pPr>
      <w:r>
        <w:rPr>
          <w:rFonts w:hint="eastAsia" w:ascii="仿宋_GB2312" w:hAnsi="仿宋" w:eastAsia="仿宋_GB2312"/>
          <w:sz w:val="28"/>
          <w:szCs w:val="28"/>
        </w:rPr>
        <w:t>供应商名称并盖公章：</w:t>
      </w: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r>
        <w:rPr>
          <w:rFonts w:hint="eastAsia" w:ascii="仿宋_GB2312" w:hAnsi="仿宋" w:eastAsia="仿宋_GB2312"/>
          <w:sz w:val="28"/>
          <w:szCs w:val="28"/>
        </w:rPr>
        <w:t>年     月      日</w:t>
      </w:r>
    </w:p>
    <w:p>
      <w:pPr>
        <w:pStyle w:val="19"/>
        <w:kinsoku/>
        <w:wordWrap/>
        <w:overflowPunct/>
        <w:bidi w:val="0"/>
        <w:spacing w:line="560" w:lineRule="atLeast"/>
        <w:textAlignment w:val="auto"/>
      </w:pPr>
    </w:p>
    <w:p>
      <w:pPr>
        <w:kinsoku/>
        <w:wordWrap/>
        <w:overflowPunct/>
        <w:bidi w:val="0"/>
        <w:spacing w:line="560" w:lineRule="atLeast"/>
        <w:textAlignment w:val="auto"/>
      </w:pPr>
    </w:p>
    <w:p>
      <w:pPr>
        <w:pStyle w:val="2"/>
        <w:kinsoku/>
        <w:wordWrap/>
        <w:overflowPunct/>
        <w:bidi w:val="0"/>
        <w:spacing w:line="560" w:lineRule="atLeast"/>
        <w:textAlignment w:val="auto"/>
        <w:rPr>
          <w:rFonts w:hint="eastAsia"/>
        </w:rPr>
      </w:pPr>
    </w:p>
    <w:p>
      <w:pPr>
        <w:kinsoku/>
        <w:wordWrap/>
        <w:overflowPunct/>
        <w:bidi w:val="0"/>
        <w:spacing w:line="560" w:lineRule="atLeast"/>
        <w:ind w:left="-420" w:leftChars="-200"/>
        <w:jc w:val="center"/>
        <w:textAlignment w:val="auto"/>
        <w:outlineLvl w:val="2"/>
        <w:rPr>
          <w:rFonts w:ascii="仿宋_GB2312" w:hAnsi="仿宋" w:eastAsia="仿宋_GB2312"/>
          <w:sz w:val="28"/>
          <w:szCs w:val="28"/>
        </w:rPr>
      </w:pPr>
      <w:r>
        <w:rPr>
          <w:rFonts w:hint="eastAsia" w:ascii="仿宋_GB2312" w:hAnsi="宋体" w:eastAsia="仿宋_GB2312"/>
          <w:sz w:val="28"/>
          <w:szCs w:val="28"/>
        </w:rPr>
        <w:t>（一）</w:t>
      </w:r>
      <w:r>
        <w:rPr>
          <w:rFonts w:hint="eastAsia" w:ascii="仿宋_GB2312" w:hAnsi="仿宋" w:eastAsia="仿宋_GB2312"/>
          <w:sz w:val="28"/>
          <w:szCs w:val="28"/>
        </w:rPr>
        <w:t>供应商企业基本情况（企业规模、财务状况、项目团队等）</w:t>
      </w: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pStyle w:val="19"/>
        <w:kinsoku/>
        <w:wordWrap/>
        <w:overflowPunct/>
        <w:bidi w:val="0"/>
        <w:spacing w:line="560" w:lineRule="atLeast"/>
        <w:textAlignment w:val="auto"/>
        <w:rPr>
          <w:rFonts w:ascii="仿宋_GB2312" w:hAnsi="仿宋" w:eastAsia="仿宋_GB2312"/>
          <w:sz w:val="28"/>
          <w:szCs w:val="28"/>
        </w:rPr>
      </w:pPr>
    </w:p>
    <w:p>
      <w:pPr>
        <w:kinsoku/>
        <w:wordWrap/>
        <w:overflowPunct/>
        <w:bidi w:val="0"/>
        <w:spacing w:line="560" w:lineRule="atLeast"/>
        <w:jc w:val="both"/>
        <w:textAlignment w:val="auto"/>
        <w:rPr>
          <w:rFonts w:ascii="仿宋_GB2312" w:hAnsi="仿宋" w:eastAsia="仿宋_GB2312"/>
          <w:sz w:val="28"/>
          <w:szCs w:val="28"/>
        </w:rPr>
      </w:pPr>
    </w:p>
    <w:p>
      <w:pPr>
        <w:pStyle w:val="2"/>
      </w:pPr>
    </w:p>
    <w:p>
      <w:pPr>
        <w:tabs>
          <w:tab w:val="left" w:pos="720"/>
          <w:tab w:val="left" w:pos="840"/>
        </w:tabs>
        <w:kinsoku/>
        <w:wordWrap/>
        <w:overflowPunct/>
        <w:bidi w:val="0"/>
        <w:spacing w:line="560" w:lineRule="atLeast"/>
        <w:textAlignment w:val="auto"/>
        <w:outlineLvl w:val="2"/>
        <w:rPr>
          <w:rFonts w:hint="eastAsia" w:ascii="宋体" w:hAnsi="宋体" w:eastAsia="宋体" w:cs="宋体"/>
          <w:sz w:val="24"/>
          <w:szCs w:val="24"/>
        </w:rPr>
      </w:pPr>
      <w:r>
        <w:rPr>
          <w:rFonts w:hint="eastAsia" w:ascii="宋体" w:hAnsi="宋体" w:eastAsia="宋体" w:cs="宋体"/>
          <w:sz w:val="24"/>
          <w:szCs w:val="24"/>
        </w:rPr>
        <w:t>（二）供应商履约能力证明材料</w:t>
      </w:r>
    </w:p>
    <w:p>
      <w:pPr>
        <w:kinsoku/>
        <w:wordWrap/>
        <w:overflowPunct/>
        <w:bidi w:val="0"/>
        <w:spacing w:line="560" w:lineRule="atLeast"/>
        <w:jc w:val="center"/>
        <w:textAlignment w:val="auto"/>
        <w:rPr>
          <w:rFonts w:ascii="仿宋_GB2312" w:hAnsi="仿宋_GB2312" w:eastAsia="仿宋_GB2312" w:cs="仿宋_GB2312"/>
          <w:b/>
          <w:sz w:val="32"/>
          <w:szCs w:val="32"/>
        </w:rPr>
      </w:pPr>
      <w:r>
        <w:rPr>
          <w:rFonts w:hint="eastAsia" w:ascii="仿宋_GB2312" w:hAnsi="仿宋_GB2312" w:eastAsia="仿宋_GB2312" w:cs="仿宋_GB2312"/>
          <w:b/>
          <w:spacing w:val="-6"/>
          <w:sz w:val="32"/>
          <w:szCs w:val="32"/>
        </w:rPr>
        <w:t>近</w:t>
      </w:r>
      <w:r>
        <w:rPr>
          <w:rFonts w:hint="eastAsia" w:ascii="仿宋_GB2312" w:hAnsi="仿宋_GB2312" w:eastAsia="仿宋_GB2312" w:cs="仿宋_GB2312"/>
          <w:b/>
          <w:sz w:val="32"/>
          <w:szCs w:val="32"/>
        </w:rPr>
        <w:t>3年</w:t>
      </w:r>
      <w:r>
        <w:rPr>
          <w:rFonts w:hint="eastAsia" w:ascii="仿宋_GB2312" w:hAnsi="仿宋_GB2312" w:eastAsia="仿宋_GB2312" w:cs="仿宋_GB2312"/>
          <w:b/>
          <w:spacing w:val="-6"/>
          <w:sz w:val="32"/>
          <w:szCs w:val="32"/>
        </w:rPr>
        <w:t>完</w:t>
      </w:r>
      <w:r>
        <w:rPr>
          <w:rFonts w:hint="eastAsia" w:ascii="仿宋_GB2312" w:hAnsi="仿宋_GB2312" w:eastAsia="仿宋_GB2312" w:cs="仿宋_GB2312"/>
          <w:b/>
          <w:sz w:val="32"/>
          <w:szCs w:val="32"/>
        </w:rPr>
        <w:t>成</w:t>
      </w:r>
      <w:r>
        <w:rPr>
          <w:rFonts w:hint="eastAsia" w:ascii="仿宋_GB2312" w:hAnsi="仿宋_GB2312" w:eastAsia="仿宋_GB2312" w:cs="仿宋_GB2312"/>
          <w:b/>
          <w:spacing w:val="-6"/>
          <w:sz w:val="32"/>
          <w:szCs w:val="32"/>
        </w:rPr>
        <w:t>的</w:t>
      </w:r>
      <w:r>
        <w:rPr>
          <w:rFonts w:hint="eastAsia" w:ascii="仿宋_GB2312" w:hAnsi="仿宋_GB2312" w:eastAsia="仿宋_GB2312" w:cs="仿宋_GB2312"/>
          <w:b/>
          <w:sz w:val="32"/>
          <w:szCs w:val="32"/>
        </w:rPr>
        <w:t>类</w:t>
      </w:r>
      <w:r>
        <w:rPr>
          <w:rFonts w:hint="eastAsia" w:ascii="仿宋_GB2312" w:hAnsi="仿宋_GB2312" w:eastAsia="仿宋_GB2312" w:cs="仿宋_GB2312"/>
          <w:b/>
          <w:spacing w:val="-6"/>
          <w:sz w:val="32"/>
          <w:szCs w:val="32"/>
        </w:rPr>
        <w:t>似</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6"/>
          <w:sz w:val="32"/>
          <w:szCs w:val="32"/>
        </w:rPr>
        <w:t>目</w:t>
      </w:r>
      <w:r>
        <w:rPr>
          <w:rFonts w:hint="eastAsia" w:ascii="仿宋_GB2312" w:hAnsi="仿宋_GB2312" w:eastAsia="仿宋_GB2312" w:cs="仿宋_GB2312"/>
          <w:b/>
          <w:sz w:val="32"/>
          <w:szCs w:val="32"/>
        </w:rPr>
        <w:t>情</w:t>
      </w:r>
      <w:r>
        <w:rPr>
          <w:rFonts w:hint="eastAsia" w:ascii="仿宋_GB2312" w:hAnsi="仿宋_GB2312" w:eastAsia="仿宋_GB2312" w:cs="仿宋_GB2312"/>
          <w:b/>
          <w:spacing w:val="-6"/>
          <w:sz w:val="32"/>
          <w:szCs w:val="32"/>
        </w:rPr>
        <w:t>况</w:t>
      </w:r>
      <w:r>
        <w:rPr>
          <w:rFonts w:hint="eastAsia" w:ascii="仿宋_GB2312" w:hAnsi="仿宋_GB2312" w:eastAsia="仿宋_GB2312" w:cs="仿宋_GB2312"/>
          <w:b/>
          <w:sz w:val="32"/>
          <w:szCs w:val="32"/>
        </w:rPr>
        <w:t>表</w:t>
      </w:r>
    </w:p>
    <w:p>
      <w:pPr>
        <w:kinsoku/>
        <w:wordWrap/>
        <w:overflowPunct/>
        <w:bidi w:val="0"/>
        <w:spacing w:line="560" w:lineRule="atLeast"/>
        <w:jc w:val="center"/>
        <w:textAlignment w:val="auto"/>
        <w:rPr>
          <w:rFonts w:ascii="仿宋_GB2312" w:eastAsia="仿宋_GB2312"/>
          <w:b/>
          <w:sz w:val="22"/>
        </w:rPr>
      </w:pPr>
      <w:r>
        <w:rPr>
          <w:rFonts w:hint="eastAsia" w:ascii="仿宋_GB2312" w:hAnsi="宋体" w:eastAsia="仿宋_GB2312" w:cs="MingLiU"/>
          <w:b/>
          <w:sz w:val="28"/>
          <w:szCs w:val="30"/>
        </w:rPr>
        <w:t>（可调整）</w:t>
      </w:r>
    </w:p>
    <w:tbl>
      <w:tblPr>
        <w:tblStyle w:val="45"/>
        <w:tblpPr w:leftFromText="180" w:rightFromText="180" w:vertAnchor="text" w:tblpX="109" w:tblpY="1"/>
        <w:tblOverlap w:val="never"/>
        <w:tblW w:w="887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670"/>
        <w:gridCol w:w="1556"/>
        <w:gridCol w:w="37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863" w:type="dxa"/>
            <w:vAlign w:val="center"/>
          </w:tcPr>
          <w:p>
            <w:pPr>
              <w:kinsoku/>
              <w:wordWrap/>
              <w:overflowPunct/>
              <w:bidi w:val="0"/>
              <w:spacing w:line="560" w:lineRule="atLeast"/>
              <w:jc w:val="center"/>
              <w:textAlignment w:val="auto"/>
              <w:rPr>
                <w:rFonts w:ascii="仿宋_GB2312" w:hAnsi="宋体" w:eastAsia="仿宋_GB2312"/>
                <w:szCs w:val="21"/>
              </w:rPr>
            </w:pPr>
            <w:r>
              <w:rPr>
                <w:rFonts w:hint="eastAsia" w:ascii="仿宋_GB2312" w:hAnsi="宋体" w:eastAsia="仿宋_GB2312"/>
                <w:szCs w:val="21"/>
              </w:rPr>
              <w:t>序号</w:t>
            </w:r>
          </w:p>
        </w:tc>
        <w:tc>
          <w:tcPr>
            <w:tcW w:w="2670" w:type="dxa"/>
            <w:vAlign w:val="center"/>
          </w:tcPr>
          <w:p>
            <w:pPr>
              <w:kinsoku/>
              <w:wordWrap/>
              <w:overflowPunct/>
              <w:bidi w:val="0"/>
              <w:spacing w:line="560" w:lineRule="atLeast"/>
              <w:jc w:val="center"/>
              <w:textAlignment w:val="auto"/>
              <w:rPr>
                <w:rFonts w:ascii="仿宋_GB2312" w:hAnsi="宋体" w:eastAsia="仿宋_GB2312"/>
                <w:szCs w:val="21"/>
              </w:rPr>
            </w:pPr>
            <w:r>
              <w:rPr>
                <w:rFonts w:hint="eastAsia" w:ascii="仿宋_GB2312" w:hAnsi="宋体" w:eastAsia="仿宋_GB2312"/>
                <w:szCs w:val="21"/>
              </w:rPr>
              <w:t>项目名称</w:t>
            </w:r>
          </w:p>
        </w:tc>
        <w:tc>
          <w:tcPr>
            <w:tcW w:w="1556" w:type="dxa"/>
            <w:vAlign w:val="center"/>
          </w:tcPr>
          <w:p>
            <w:pPr>
              <w:kinsoku/>
              <w:wordWrap/>
              <w:overflowPunct/>
              <w:bidi w:val="0"/>
              <w:spacing w:line="560" w:lineRule="atLeast"/>
              <w:jc w:val="center"/>
              <w:textAlignment w:val="auto"/>
              <w:rPr>
                <w:rFonts w:ascii="仿宋_GB2312" w:hAnsi="宋体" w:eastAsia="仿宋_GB2312"/>
                <w:szCs w:val="21"/>
              </w:rPr>
            </w:pPr>
            <w:r>
              <w:rPr>
                <w:rFonts w:hint="eastAsia" w:ascii="仿宋_GB2312" w:hAnsi="宋体" w:eastAsia="仿宋_GB2312"/>
                <w:szCs w:val="21"/>
              </w:rPr>
              <w:t>合同签订时间</w:t>
            </w:r>
          </w:p>
        </w:tc>
        <w:tc>
          <w:tcPr>
            <w:tcW w:w="3789" w:type="dxa"/>
            <w:vAlign w:val="center"/>
          </w:tcPr>
          <w:p>
            <w:pPr>
              <w:kinsoku/>
              <w:wordWrap/>
              <w:overflowPunct/>
              <w:bidi w:val="0"/>
              <w:spacing w:line="560" w:lineRule="atLeast"/>
              <w:jc w:val="center"/>
              <w:textAlignment w:val="auto"/>
              <w:rPr>
                <w:rFonts w:ascii="仿宋_GB2312" w:hAnsi="宋体" w:eastAsia="仿宋_GB2312"/>
                <w:szCs w:val="21"/>
              </w:rPr>
            </w:pPr>
            <w:r>
              <w:rPr>
                <w:rFonts w:hint="eastAsia" w:ascii="仿宋_GB2312" w:hAnsi="宋体" w:eastAsia="仿宋_GB2312"/>
                <w:szCs w:val="21"/>
              </w:rPr>
              <w:t>项目内容简介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63" w:type="dxa"/>
          </w:tcPr>
          <w:p>
            <w:pPr>
              <w:kinsoku/>
              <w:wordWrap/>
              <w:overflowPunct/>
              <w:bidi w:val="0"/>
              <w:spacing w:line="560" w:lineRule="atLeast"/>
              <w:textAlignment w:val="auto"/>
              <w:rPr>
                <w:rFonts w:ascii="仿宋_GB2312" w:hAnsi="宋体" w:eastAsia="仿宋_GB2312"/>
                <w:szCs w:val="21"/>
              </w:rPr>
            </w:pPr>
          </w:p>
        </w:tc>
        <w:tc>
          <w:tcPr>
            <w:tcW w:w="2670" w:type="dxa"/>
          </w:tcPr>
          <w:p>
            <w:pPr>
              <w:kinsoku/>
              <w:wordWrap/>
              <w:overflowPunct/>
              <w:bidi w:val="0"/>
              <w:spacing w:line="560" w:lineRule="atLeast"/>
              <w:textAlignment w:val="auto"/>
              <w:rPr>
                <w:rFonts w:ascii="仿宋_GB2312" w:hAnsi="宋体" w:eastAsia="仿宋_GB2312"/>
                <w:szCs w:val="21"/>
              </w:rPr>
            </w:pPr>
          </w:p>
        </w:tc>
        <w:tc>
          <w:tcPr>
            <w:tcW w:w="1556" w:type="dxa"/>
          </w:tcPr>
          <w:p>
            <w:pPr>
              <w:kinsoku/>
              <w:wordWrap/>
              <w:overflowPunct/>
              <w:bidi w:val="0"/>
              <w:spacing w:line="560" w:lineRule="atLeast"/>
              <w:textAlignment w:val="auto"/>
              <w:rPr>
                <w:rFonts w:ascii="仿宋_GB2312" w:hAnsi="宋体" w:eastAsia="仿宋_GB2312"/>
                <w:szCs w:val="21"/>
              </w:rPr>
            </w:pPr>
          </w:p>
        </w:tc>
        <w:tc>
          <w:tcPr>
            <w:tcW w:w="3789" w:type="dxa"/>
          </w:tcPr>
          <w:p>
            <w:pPr>
              <w:kinsoku/>
              <w:wordWrap/>
              <w:overflowPunct/>
              <w:bidi w:val="0"/>
              <w:spacing w:line="560" w:lineRule="atLeast"/>
              <w:textAlignment w:val="auto"/>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63" w:type="dxa"/>
          </w:tcPr>
          <w:p>
            <w:pPr>
              <w:kinsoku/>
              <w:wordWrap/>
              <w:overflowPunct/>
              <w:bidi w:val="0"/>
              <w:spacing w:line="560" w:lineRule="atLeast"/>
              <w:textAlignment w:val="auto"/>
              <w:rPr>
                <w:rFonts w:ascii="仿宋_GB2312" w:hAnsi="宋体" w:eastAsia="仿宋_GB2312"/>
                <w:szCs w:val="21"/>
              </w:rPr>
            </w:pPr>
          </w:p>
        </w:tc>
        <w:tc>
          <w:tcPr>
            <w:tcW w:w="2670" w:type="dxa"/>
          </w:tcPr>
          <w:p>
            <w:pPr>
              <w:kinsoku/>
              <w:wordWrap/>
              <w:overflowPunct/>
              <w:bidi w:val="0"/>
              <w:spacing w:line="560" w:lineRule="atLeast"/>
              <w:textAlignment w:val="auto"/>
              <w:rPr>
                <w:rFonts w:ascii="仿宋_GB2312" w:hAnsi="宋体" w:eastAsia="仿宋_GB2312"/>
                <w:szCs w:val="21"/>
              </w:rPr>
            </w:pPr>
          </w:p>
        </w:tc>
        <w:tc>
          <w:tcPr>
            <w:tcW w:w="1556" w:type="dxa"/>
          </w:tcPr>
          <w:p>
            <w:pPr>
              <w:kinsoku/>
              <w:wordWrap/>
              <w:overflowPunct/>
              <w:bidi w:val="0"/>
              <w:spacing w:line="560" w:lineRule="atLeast"/>
              <w:textAlignment w:val="auto"/>
              <w:rPr>
                <w:rFonts w:ascii="仿宋_GB2312" w:hAnsi="宋体" w:eastAsia="仿宋_GB2312"/>
                <w:szCs w:val="21"/>
              </w:rPr>
            </w:pPr>
          </w:p>
        </w:tc>
        <w:tc>
          <w:tcPr>
            <w:tcW w:w="3789" w:type="dxa"/>
          </w:tcPr>
          <w:p>
            <w:pPr>
              <w:kinsoku/>
              <w:wordWrap/>
              <w:overflowPunct/>
              <w:bidi w:val="0"/>
              <w:spacing w:line="560" w:lineRule="atLeast"/>
              <w:textAlignment w:val="auto"/>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63" w:type="dxa"/>
          </w:tcPr>
          <w:p>
            <w:pPr>
              <w:kinsoku/>
              <w:wordWrap/>
              <w:overflowPunct/>
              <w:bidi w:val="0"/>
              <w:spacing w:line="560" w:lineRule="atLeast"/>
              <w:textAlignment w:val="auto"/>
              <w:rPr>
                <w:rFonts w:ascii="仿宋_GB2312" w:hAnsi="宋体" w:eastAsia="仿宋_GB2312"/>
                <w:szCs w:val="21"/>
              </w:rPr>
            </w:pPr>
          </w:p>
        </w:tc>
        <w:tc>
          <w:tcPr>
            <w:tcW w:w="2670" w:type="dxa"/>
          </w:tcPr>
          <w:p>
            <w:pPr>
              <w:kinsoku/>
              <w:wordWrap/>
              <w:overflowPunct/>
              <w:bidi w:val="0"/>
              <w:spacing w:line="560" w:lineRule="atLeast"/>
              <w:textAlignment w:val="auto"/>
              <w:rPr>
                <w:rFonts w:ascii="仿宋_GB2312" w:hAnsi="宋体" w:eastAsia="仿宋_GB2312"/>
                <w:szCs w:val="21"/>
              </w:rPr>
            </w:pPr>
          </w:p>
        </w:tc>
        <w:tc>
          <w:tcPr>
            <w:tcW w:w="1556" w:type="dxa"/>
          </w:tcPr>
          <w:p>
            <w:pPr>
              <w:kinsoku/>
              <w:wordWrap/>
              <w:overflowPunct/>
              <w:bidi w:val="0"/>
              <w:spacing w:line="560" w:lineRule="atLeast"/>
              <w:textAlignment w:val="auto"/>
              <w:rPr>
                <w:rFonts w:ascii="仿宋_GB2312" w:hAnsi="宋体" w:eastAsia="仿宋_GB2312"/>
                <w:szCs w:val="21"/>
              </w:rPr>
            </w:pPr>
          </w:p>
        </w:tc>
        <w:tc>
          <w:tcPr>
            <w:tcW w:w="3789" w:type="dxa"/>
          </w:tcPr>
          <w:p>
            <w:pPr>
              <w:kinsoku/>
              <w:wordWrap/>
              <w:overflowPunct/>
              <w:bidi w:val="0"/>
              <w:spacing w:line="560" w:lineRule="atLeast"/>
              <w:textAlignment w:val="auto"/>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63" w:type="dxa"/>
          </w:tcPr>
          <w:p>
            <w:pPr>
              <w:kinsoku/>
              <w:wordWrap/>
              <w:overflowPunct/>
              <w:bidi w:val="0"/>
              <w:spacing w:line="560" w:lineRule="atLeast"/>
              <w:textAlignment w:val="auto"/>
              <w:rPr>
                <w:rFonts w:ascii="仿宋_GB2312" w:hAnsi="宋体" w:eastAsia="仿宋_GB2312"/>
                <w:szCs w:val="21"/>
              </w:rPr>
            </w:pPr>
          </w:p>
        </w:tc>
        <w:tc>
          <w:tcPr>
            <w:tcW w:w="2670" w:type="dxa"/>
          </w:tcPr>
          <w:p>
            <w:pPr>
              <w:kinsoku/>
              <w:wordWrap/>
              <w:overflowPunct/>
              <w:bidi w:val="0"/>
              <w:spacing w:line="560" w:lineRule="atLeast"/>
              <w:textAlignment w:val="auto"/>
              <w:rPr>
                <w:rFonts w:ascii="仿宋_GB2312" w:hAnsi="宋体" w:eastAsia="仿宋_GB2312"/>
                <w:szCs w:val="21"/>
              </w:rPr>
            </w:pPr>
          </w:p>
        </w:tc>
        <w:tc>
          <w:tcPr>
            <w:tcW w:w="1556" w:type="dxa"/>
          </w:tcPr>
          <w:p>
            <w:pPr>
              <w:kinsoku/>
              <w:wordWrap/>
              <w:overflowPunct/>
              <w:bidi w:val="0"/>
              <w:spacing w:line="560" w:lineRule="atLeast"/>
              <w:textAlignment w:val="auto"/>
              <w:rPr>
                <w:rFonts w:ascii="仿宋_GB2312" w:hAnsi="宋体" w:eastAsia="仿宋_GB2312"/>
                <w:szCs w:val="21"/>
              </w:rPr>
            </w:pPr>
          </w:p>
        </w:tc>
        <w:tc>
          <w:tcPr>
            <w:tcW w:w="3789" w:type="dxa"/>
          </w:tcPr>
          <w:p>
            <w:pPr>
              <w:kinsoku/>
              <w:wordWrap/>
              <w:overflowPunct/>
              <w:bidi w:val="0"/>
              <w:spacing w:line="560" w:lineRule="atLeast"/>
              <w:textAlignment w:val="auto"/>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63" w:type="dxa"/>
          </w:tcPr>
          <w:p>
            <w:pPr>
              <w:kinsoku/>
              <w:wordWrap/>
              <w:overflowPunct/>
              <w:bidi w:val="0"/>
              <w:spacing w:line="560" w:lineRule="atLeast"/>
              <w:textAlignment w:val="auto"/>
              <w:rPr>
                <w:rFonts w:ascii="仿宋_GB2312" w:hAnsi="宋体" w:eastAsia="仿宋_GB2312"/>
                <w:szCs w:val="21"/>
              </w:rPr>
            </w:pPr>
          </w:p>
        </w:tc>
        <w:tc>
          <w:tcPr>
            <w:tcW w:w="2670" w:type="dxa"/>
          </w:tcPr>
          <w:p>
            <w:pPr>
              <w:kinsoku/>
              <w:wordWrap/>
              <w:overflowPunct/>
              <w:bidi w:val="0"/>
              <w:spacing w:line="560" w:lineRule="atLeast"/>
              <w:textAlignment w:val="auto"/>
              <w:rPr>
                <w:rFonts w:ascii="仿宋_GB2312" w:hAnsi="宋体" w:eastAsia="仿宋_GB2312"/>
                <w:szCs w:val="21"/>
              </w:rPr>
            </w:pPr>
          </w:p>
        </w:tc>
        <w:tc>
          <w:tcPr>
            <w:tcW w:w="1556" w:type="dxa"/>
          </w:tcPr>
          <w:p>
            <w:pPr>
              <w:kinsoku/>
              <w:wordWrap/>
              <w:overflowPunct/>
              <w:bidi w:val="0"/>
              <w:spacing w:line="560" w:lineRule="atLeast"/>
              <w:textAlignment w:val="auto"/>
              <w:rPr>
                <w:rFonts w:ascii="仿宋_GB2312" w:hAnsi="宋体" w:eastAsia="仿宋_GB2312"/>
                <w:szCs w:val="21"/>
              </w:rPr>
            </w:pPr>
          </w:p>
        </w:tc>
        <w:tc>
          <w:tcPr>
            <w:tcW w:w="3789" w:type="dxa"/>
          </w:tcPr>
          <w:p>
            <w:pPr>
              <w:kinsoku/>
              <w:wordWrap/>
              <w:overflowPunct/>
              <w:bidi w:val="0"/>
              <w:spacing w:line="560" w:lineRule="atLeast"/>
              <w:textAlignment w:val="auto"/>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63" w:type="dxa"/>
          </w:tcPr>
          <w:p>
            <w:pPr>
              <w:kinsoku/>
              <w:wordWrap/>
              <w:overflowPunct/>
              <w:bidi w:val="0"/>
              <w:spacing w:line="560" w:lineRule="atLeast"/>
              <w:textAlignment w:val="auto"/>
              <w:rPr>
                <w:rFonts w:ascii="仿宋_GB2312" w:hAnsi="宋体" w:eastAsia="仿宋_GB2312"/>
                <w:szCs w:val="21"/>
              </w:rPr>
            </w:pPr>
          </w:p>
        </w:tc>
        <w:tc>
          <w:tcPr>
            <w:tcW w:w="2670" w:type="dxa"/>
          </w:tcPr>
          <w:p>
            <w:pPr>
              <w:kinsoku/>
              <w:wordWrap/>
              <w:overflowPunct/>
              <w:bidi w:val="0"/>
              <w:spacing w:line="560" w:lineRule="atLeast"/>
              <w:textAlignment w:val="auto"/>
              <w:rPr>
                <w:rFonts w:ascii="仿宋_GB2312" w:hAnsi="宋体" w:eastAsia="仿宋_GB2312"/>
                <w:szCs w:val="21"/>
              </w:rPr>
            </w:pPr>
          </w:p>
        </w:tc>
        <w:tc>
          <w:tcPr>
            <w:tcW w:w="1556" w:type="dxa"/>
          </w:tcPr>
          <w:p>
            <w:pPr>
              <w:kinsoku/>
              <w:wordWrap/>
              <w:overflowPunct/>
              <w:bidi w:val="0"/>
              <w:spacing w:line="560" w:lineRule="atLeast"/>
              <w:textAlignment w:val="auto"/>
              <w:rPr>
                <w:rFonts w:ascii="仿宋_GB2312" w:hAnsi="宋体" w:eastAsia="仿宋_GB2312"/>
                <w:szCs w:val="21"/>
              </w:rPr>
            </w:pPr>
          </w:p>
        </w:tc>
        <w:tc>
          <w:tcPr>
            <w:tcW w:w="3789" w:type="dxa"/>
          </w:tcPr>
          <w:p>
            <w:pPr>
              <w:kinsoku/>
              <w:wordWrap/>
              <w:overflowPunct/>
              <w:bidi w:val="0"/>
              <w:spacing w:line="560" w:lineRule="atLeast"/>
              <w:textAlignment w:val="auto"/>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63" w:type="dxa"/>
          </w:tcPr>
          <w:p>
            <w:pPr>
              <w:kinsoku/>
              <w:wordWrap/>
              <w:overflowPunct/>
              <w:bidi w:val="0"/>
              <w:spacing w:line="560" w:lineRule="atLeast"/>
              <w:textAlignment w:val="auto"/>
              <w:rPr>
                <w:rFonts w:ascii="仿宋_GB2312" w:hAnsi="宋体" w:eastAsia="仿宋_GB2312"/>
                <w:szCs w:val="21"/>
              </w:rPr>
            </w:pPr>
          </w:p>
        </w:tc>
        <w:tc>
          <w:tcPr>
            <w:tcW w:w="2670" w:type="dxa"/>
          </w:tcPr>
          <w:p>
            <w:pPr>
              <w:kinsoku/>
              <w:wordWrap/>
              <w:overflowPunct/>
              <w:bidi w:val="0"/>
              <w:spacing w:line="560" w:lineRule="atLeast"/>
              <w:textAlignment w:val="auto"/>
              <w:rPr>
                <w:rFonts w:ascii="仿宋_GB2312" w:hAnsi="宋体" w:eastAsia="仿宋_GB2312"/>
                <w:szCs w:val="21"/>
              </w:rPr>
            </w:pPr>
          </w:p>
        </w:tc>
        <w:tc>
          <w:tcPr>
            <w:tcW w:w="1556" w:type="dxa"/>
          </w:tcPr>
          <w:p>
            <w:pPr>
              <w:kinsoku/>
              <w:wordWrap/>
              <w:overflowPunct/>
              <w:bidi w:val="0"/>
              <w:spacing w:line="560" w:lineRule="atLeast"/>
              <w:textAlignment w:val="auto"/>
              <w:rPr>
                <w:rFonts w:ascii="仿宋_GB2312" w:hAnsi="宋体" w:eastAsia="仿宋_GB2312"/>
                <w:szCs w:val="21"/>
              </w:rPr>
            </w:pPr>
          </w:p>
        </w:tc>
        <w:tc>
          <w:tcPr>
            <w:tcW w:w="3789" w:type="dxa"/>
          </w:tcPr>
          <w:p>
            <w:pPr>
              <w:kinsoku/>
              <w:wordWrap/>
              <w:overflowPunct/>
              <w:bidi w:val="0"/>
              <w:spacing w:line="560" w:lineRule="atLeast"/>
              <w:textAlignment w:val="auto"/>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63" w:type="dxa"/>
          </w:tcPr>
          <w:p>
            <w:pPr>
              <w:kinsoku/>
              <w:wordWrap/>
              <w:overflowPunct/>
              <w:bidi w:val="0"/>
              <w:spacing w:line="560" w:lineRule="atLeast"/>
              <w:textAlignment w:val="auto"/>
              <w:rPr>
                <w:rFonts w:ascii="仿宋_GB2312" w:hAnsi="宋体" w:eastAsia="仿宋_GB2312"/>
                <w:szCs w:val="21"/>
              </w:rPr>
            </w:pPr>
          </w:p>
        </w:tc>
        <w:tc>
          <w:tcPr>
            <w:tcW w:w="2670" w:type="dxa"/>
          </w:tcPr>
          <w:p>
            <w:pPr>
              <w:kinsoku/>
              <w:wordWrap/>
              <w:overflowPunct/>
              <w:bidi w:val="0"/>
              <w:spacing w:line="560" w:lineRule="atLeast"/>
              <w:textAlignment w:val="auto"/>
              <w:rPr>
                <w:rFonts w:ascii="仿宋_GB2312" w:hAnsi="宋体" w:eastAsia="仿宋_GB2312"/>
                <w:szCs w:val="21"/>
              </w:rPr>
            </w:pPr>
          </w:p>
        </w:tc>
        <w:tc>
          <w:tcPr>
            <w:tcW w:w="1556" w:type="dxa"/>
          </w:tcPr>
          <w:p>
            <w:pPr>
              <w:kinsoku/>
              <w:wordWrap/>
              <w:overflowPunct/>
              <w:bidi w:val="0"/>
              <w:spacing w:line="560" w:lineRule="atLeast"/>
              <w:textAlignment w:val="auto"/>
              <w:rPr>
                <w:rFonts w:ascii="仿宋_GB2312" w:hAnsi="宋体" w:eastAsia="仿宋_GB2312"/>
                <w:szCs w:val="21"/>
              </w:rPr>
            </w:pPr>
          </w:p>
        </w:tc>
        <w:tc>
          <w:tcPr>
            <w:tcW w:w="3789" w:type="dxa"/>
          </w:tcPr>
          <w:p>
            <w:pPr>
              <w:kinsoku/>
              <w:wordWrap/>
              <w:overflowPunct/>
              <w:bidi w:val="0"/>
              <w:spacing w:line="560" w:lineRule="atLeast"/>
              <w:textAlignment w:val="auto"/>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63" w:type="dxa"/>
          </w:tcPr>
          <w:p>
            <w:pPr>
              <w:kinsoku/>
              <w:wordWrap/>
              <w:overflowPunct/>
              <w:bidi w:val="0"/>
              <w:spacing w:line="560" w:lineRule="atLeast"/>
              <w:textAlignment w:val="auto"/>
              <w:rPr>
                <w:rFonts w:ascii="仿宋_GB2312" w:hAnsi="宋体" w:eastAsia="仿宋_GB2312"/>
                <w:szCs w:val="21"/>
              </w:rPr>
            </w:pPr>
          </w:p>
        </w:tc>
        <w:tc>
          <w:tcPr>
            <w:tcW w:w="2670" w:type="dxa"/>
          </w:tcPr>
          <w:p>
            <w:pPr>
              <w:kinsoku/>
              <w:wordWrap/>
              <w:overflowPunct/>
              <w:bidi w:val="0"/>
              <w:spacing w:line="560" w:lineRule="atLeast"/>
              <w:textAlignment w:val="auto"/>
              <w:rPr>
                <w:rFonts w:ascii="仿宋_GB2312" w:hAnsi="宋体" w:eastAsia="仿宋_GB2312"/>
                <w:szCs w:val="21"/>
              </w:rPr>
            </w:pPr>
          </w:p>
        </w:tc>
        <w:tc>
          <w:tcPr>
            <w:tcW w:w="1556" w:type="dxa"/>
          </w:tcPr>
          <w:p>
            <w:pPr>
              <w:kinsoku/>
              <w:wordWrap/>
              <w:overflowPunct/>
              <w:bidi w:val="0"/>
              <w:spacing w:line="560" w:lineRule="atLeast"/>
              <w:textAlignment w:val="auto"/>
              <w:rPr>
                <w:rFonts w:ascii="仿宋_GB2312" w:hAnsi="宋体" w:eastAsia="仿宋_GB2312"/>
                <w:szCs w:val="21"/>
              </w:rPr>
            </w:pPr>
          </w:p>
        </w:tc>
        <w:tc>
          <w:tcPr>
            <w:tcW w:w="3789" w:type="dxa"/>
          </w:tcPr>
          <w:p>
            <w:pPr>
              <w:kinsoku/>
              <w:wordWrap/>
              <w:overflowPunct/>
              <w:bidi w:val="0"/>
              <w:spacing w:line="560" w:lineRule="atLeast"/>
              <w:textAlignment w:val="auto"/>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863" w:type="dxa"/>
          </w:tcPr>
          <w:p>
            <w:pPr>
              <w:kinsoku/>
              <w:wordWrap/>
              <w:overflowPunct/>
              <w:bidi w:val="0"/>
              <w:spacing w:line="560" w:lineRule="atLeast"/>
              <w:textAlignment w:val="auto"/>
              <w:rPr>
                <w:rFonts w:ascii="仿宋_GB2312" w:hAnsi="宋体" w:eastAsia="仿宋_GB2312"/>
                <w:szCs w:val="21"/>
              </w:rPr>
            </w:pPr>
          </w:p>
        </w:tc>
        <w:tc>
          <w:tcPr>
            <w:tcW w:w="2670" w:type="dxa"/>
          </w:tcPr>
          <w:p>
            <w:pPr>
              <w:kinsoku/>
              <w:wordWrap/>
              <w:overflowPunct/>
              <w:bidi w:val="0"/>
              <w:spacing w:line="560" w:lineRule="atLeast"/>
              <w:textAlignment w:val="auto"/>
              <w:rPr>
                <w:rFonts w:ascii="仿宋_GB2312" w:hAnsi="宋体" w:eastAsia="仿宋_GB2312"/>
                <w:szCs w:val="21"/>
              </w:rPr>
            </w:pPr>
          </w:p>
        </w:tc>
        <w:tc>
          <w:tcPr>
            <w:tcW w:w="1556" w:type="dxa"/>
          </w:tcPr>
          <w:p>
            <w:pPr>
              <w:kinsoku/>
              <w:wordWrap/>
              <w:overflowPunct/>
              <w:bidi w:val="0"/>
              <w:spacing w:line="560" w:lineRule="atLeast"/>
              <w:textAlignment w:val="auto"/>
              <w:rPr>
                <w:rFonts w:ascii="仿宋_GB2312" w:hAnsi="宋体" w:eastAsia="仿宋_GB2312"/>
                <w:szCs w:val="21"/>
              </w:rPr>
            </w:pPr>
          </w:p>
        </w:tc>
        <w:tc>
          <w:tcPr>
            <w:tcW w:w="3789" w:type="dxa"/>
          </w:tcPr>
          <w:p>
            <w:pPr>
              <w:kinsoku/>
              <w:wordWrap/>
              <w:overflowPunct/>
              <w:bidi w:val="0"/>
              <w:spacing w:line="560" w:lineRule="atLeast"/>
              <w:textAlignment w:val="auto"/>
              <w:rPr>
                <w:rFonts w:ascii="仿宋_GB2312" w:hAnsi="宋体" w:eastAsia="仿宋_GB2312"/>
                <w:szCs w:val="21"/>
              </w:rPr>
            </w:pPr>
          </w:p>
        </w:tc>
      </w:tr>
    </w:tbl>
    <w:p>
      <w:pPr>
        <w:kinsoku/>
        <w:wordWrap/>
        <w:overflowPunct/>
        <w:bidi w:val="0"/>
        <w:spacing w:line="560" w:lineRule="atLeast"/>
        <w:ind w:firstLine="353"/>
        <w:textAlignment w:val="auto"/>
        <w:rPr>
          <w:rFonts w:ascii="仿宋_GB2312" w:eastAsia="仿宋_GB2312"/>
        </w:rPr>
      </w:pPr>
    </w:p>
    <w:p>
      <w:pPr>
        <w:kinsoku/>
        <w:wordWrap/>
        <w:overflowPunct/>
        <w:bidi w:val="0"/>
        <w:spacing w:line="560" w:lineRule="atLeast"/>
        <w:ind w:firstLine="353"/>
        <w:textAlignment w:val="auto"/>
        <w:rPr>
          <w:rFonts w:ascii="仿宋_GB2312" w:eastAsia="仿宋_GB2312"/>
        </w:rPr>
      </w:pPr>
    </w:p>
    <w:p>
      <w:pPr>
        <w:kinsoku/>
        <w:wordWrap/>
        <w:overflowPunct/>
        <w:bidi w:val="0"/>
        <w:spacing w:line="560" w:lineRule="atLeast"/>
        <w:ind w:firstLine="353"/>
        <w:textAlignment w:val="auto"/>
        <w:rPr>
          <w:rFonts w:ascii="仿宋_GB2312" w:eastAsia="仿宋_GB2312"/>
          <w:sz w:val="28"/>
          <w:szCs w:val="28"/>
        </w:rPr>
      </w:pPr>
      <w:r>
        <w:rPr>
          <w:rFonts w:hint="eastAsia" w:ascii="仿宋_GB2312" w:eastAsia="仿宋_GB2312"/>
          <w:sz w:val="28"/>
          <w:szCs w:val="28"/>
        </w:rPr>
        <w:t>注：</w:t>
      </w:r>
    </w:p>
    <w:p>
      <w:pPr>
        <w:kinsoku/>
        <w:wordWrap/>
        <w:overflowPunct/>
        <w:bidi w:val="0"/>
        <w:spacing w:line="560" w:lineRule="atLeast"/>
        <w:ind w:firstLine="353"/>
        <w:textAlignment w:val="auto"/>
        <w:rPr>
          <w:rFonts w:ascii="仿宋_GB2312" w:eastAsia="仿宋_GB2312"/>
          <w:sz w:val="28"/>
          <w:szCs w:val="28"/>
        </w:rPr>
      </w:pPr>
      <w:r>
        <w:rPr>
          <w:rFonts w:hint="eastAsia" w:ascii="仿宋_GB2312" w:eastAsia="仿宋_GB2312"/>
          <w:sz w:val="28"/>
          <w:szCs w:val="28"/>
        </w:rPr>
        <w:t>附合同或中标通知书复印件，附点位地图（如有）。</w:t>
      </w:r>
    </w:p>
    <w:p>
      <w:pPr>
        <w:kinsoku/>
        <w:wordWrap/>
        <w:overflowPunct/>
        <w:bidi w:val="0"/>
        <w:spacing w:line="560" w:lineRule="atLeast"/>
        <w:ind w:firstLine="353"/>
        <w:textAlignment w:val="auto"/>
        <w:rPr>
          <w:rFonts w:ascii="仿宋_GB2312" w:eastAsia="仿宋_GB2312"/>
        </w:rPr>
      </w:pPr>
    </w:p>
    <w:p>
      <w:pPr>
        <w:kinsoku/>
        <w:wordWrap/>
        <w:overflowPunct/>
        <w:bidi w:val="0"/>
        <w:spacing w:line="560" w:lineRule="atLeast"/>
        <w:ind w:left="988" w:leftChars="464" w:hanging="14" w:hangingChars="5"/>
        <w:textAlignment w:val="auto"/>
        <w:rPr>
          <w:rFonts w:ascii="仿宋_GB2312" w:hAnsi="宋体" w:eastAsia="仿宋_GB2312" w:cs="Arial"/>
          <w:sz w:val="28"/>
          <w:szCs w:val="28"/>
          <w:u w:val="single"/>
        </w:rPr>
      </w:pPr>
      <w:r>
        <w:rPr>
          <w:rFonts w:hint="eastAsia" w:ascii="仿宋_GB2312" w:hAnsi="宋体" w:eastAsia="仿宋_GB2312" w:cs="Arial"/>
          <w:sz w:val="28"/>
          <w:szCs w:val="28"/>
        </w:rPr>
        <w:t>供应商：</w:t>
      </w:r>
      <w:r>
        <w:rPr>
          <w:rFonts w:hint="eastAsia" w:ascii="仿宋_GB2312" w:hAnsi="宋体" w:eastAsia="仿宋_GB2312" w:cs="Arial"/>
          <w:sz w:val="28"/>
          <w:szCs w:val="28"/>
          <w:u w:val="single"/>
        </w:rPr>
        <w:t>（盖公章）</w:t>
      </w:r>
    </w:p>
    <w:p>
      <w:pPr>
        <w:kinsoku/>
        <w:wordWrap/>
        <w:overflowPunct/>
        <w:bidi w:val="0"/>
        <w:spacing w:line="560" w:lineRule="atLeast"/>
        <w:ind w:left="988" w:leftChars="464" w:hanging="14" w:hangingChars="5"/>
        <w:textAlignment w:val="auto"/>
        <w:rPr>
          <w:rFonts w:ascii="仿宋_GB2312" w:hAnsi="宋体" w:eastAsia="仿宋_GB2312" w:cs="Arial"/>
          <w:sz w:val="28"/>
          <w:szCs w:val="28"/>
        </w:rPr>
      </w:pPr>
      <w:r>
        <w:rPr>
          <w:rFonts w:hint="eastAsia" w:ascii="仿宋_GB2312" w:hAnsi="宋体" w:eastAsia="仿宋_GB2312" w:cs="Arial"/>
          <w:sz w:val="28"/>
          <w:szCs w:val="28"/>
        </w:rPr>
        <w:t>法定代表人或授权代表：</w:t>
      </w:r>
      <w:r>
        <w:rPr>
          <w:rFonts w:hint="eastAsia" w:ascii="仿宋_GB2312" w:hAnsi="宋体" w:eastAsia="仿宋_GB2312" w:cs="Arial"/>
          <w:sz w:val="28"/>
          <w:szCs w:val="28"/>
          <w:u w:val="single"/>
        </w:rPr>
        <w:t xml:space="preserve"> （签名）  </w:t>
      </w:r>
    </w:p>
    <w:p>
      <w:pPr>
        <w:kinsoku/>
        <w:wordWrap/>
        <w:overflowPunct/>
        <w:bidi w:val="0"/>
        <w:spacing w:line="560" w:lineRule="atLeast"/>
        <w:jc w:val="right"/>
        <w:textAlignment w:val="auto"/>
        <w:rPr>
          <w:rFonts w:ascii="仿宋_GB2312" w:hAnsi="宋体" w:eastAsia="仿宋_GB2312" w:cs="Arial"/>
          <w:sz w:val="28"/>
          <w:szCs w:val="28"/>
        </w:rPr>
      </w:pPr>
      <w:r>
        <w:rPr>
          <w:rFonts w:hint="eastAsia" w:ascii="仿宋_GB2312" w:hAnsi="宋体" w:eastAsia="仿宋_GB2312" w:cs="Arial"/>
          <w:sz w:val="28"/>
          <w:szCs w:val="28"/>
        </w:rPr>
        <w:t xml:space="preserve">    </w:t>
      </w:r>
    </w:p>
    <w:p>
      <w:pPr>
        <w:kinsoku/>
        <w:wordWrap/>
        <w:overflowPunct/>
        <w:bidi w:val="0"/>
        <w:spacing w:line="560" w:lineRule="atLeast"/>
        <w:ind w:right="560"/>
        <w:jc w:val="right"/>
        <w:textAlignment w:val="auto"/>
        <w:rPr>
          <w:rFonts w:ascii="仿宋_GB2312" w:hAnsi="宋体" w:eastAsia="仿宋_GB2312" w:cs="Arial"/>
          <w:sz w:val="28"/>
          <w:szCs w:val="28"/>
        </w:rPr>
      </w:pPr>
      <w:r>
        <w:rPr>
          <w:rFonts w:hint="eastAsia" w:ascii="仿宋_GB2312" w:hAnsi="宋体" w:eastAsia="仿宋_GB2312" w:cs="Arial"/>
          <w:sz w:val="28"/>
          <w:szCs w:val="28"/>
        </w:rPr>
        <w:t>年     月     日</w:t>
      </w:r>
    </w:p>
    <w:p>
      <w:pPr>
        <w:pStyle w:val="2"/>
        <w:pageBreakBefore/>
        <w:kinsoku/>
        <w:wordWrap/>
        <w:overflowPunct/>
        <w:bidi w:val="0"/>
        <w:spacing w:line="560" w:lineRule="atLeast"/>
        <w:textAlignment w:val="auto"/>
      </w:pPr>
      <w:r>
        <w:rPr>
          <w:rFonts w:hint="eastAsia"/>
        </w:rPr>
        <w:t>四、服务管理方案</w:t>
      </w:r>
    </w:p>
    <w:p>
      <w:pPr>
        <w:kinsoku/>
        <w:wordWrap/>
        <w:overflowPunct/>
        <w:bidi w:val="0"/>
        <w:spacing w:line="560" w:lineRule="atLeast"/>
        <w:textAlignment w:val="auto"/>
        <w:rPr>
          <w:rFonts w:hint="eastAsia" w:ascii="仿宋" w:hAnsi="仿宋" w:eastAsia="仿宋" w:cs="仿宋"/>
          <w:sz w:val="28"/>
          <w:szCs w:val="28"/>
        </w:rPr>
      </w:pPr>
      <w:r>
        <w:rPr>
          <w:rFonts w:hint="eastAsia" w:ascii="仿宋" w:hAnsi="仿宋" w:eastAsia="仿宋" w:cs="仿宋"/>
          <w:sz w:val="28"/>
          <w:szCs w:val="28"/>
        </w:rPr>
        <w:t>（一）技术文件封面格式</w:t>
      </w:r>
    </w:p>
    <w:p>
      <w:pPr>
        <w:pStyle w:val="56"/>
        <w:kinsoku/>
        <w:wordWrap/>
        <w:overflowPunct/>
        <w:bidi w:val="0"/>
        <w:spacing w:before="0" w:after="0" w:line="560" w:lineRule="atLeast"/>
        <w:ind w:left="1386"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s="仿宋"/>
          <w:bCs/>
          <w:color w:val="000000" w:themeColor="text1"/>
          <w:sz w:val="28"/>
          <w:szCs w:val="28"/>
          <w14:textFill>
            <w14:solidFill>
              <w14:schemeClr w14:val="tx1"/>
            </w14:solidFill>
          </w14:textFill>
        </w:rPr>
        <w:t>南部县国润排水有限公司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仪陇国润排水有限公司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南充国润排水有限公司</w:t>
      </w:r>
    </w:p>
    <w:p>
      <w:pPr>
        <w:pStyle w:val="39"/>
        <w:kinsoku/>
        <w:wordWrap/>
        <w:overflowPunct/>
        <w:bidi w:val="0"/>
        <w:spacing w:line="560" w:lineRule="atLeas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南充国润荆溪排水有限公司</w:t>
      </w:r>
    </w:p>
    <w:p>
      <w:pPr>
        <w:pStyle w:val="56"/>
        <w:kinsoku/>
        <w:wordWrap/>
        <w:overflowPunct/>
        <w:bidi w:val="0"/>
        <w:spacing w:before="0" w:after="0" w:line="560" w:lineRule="atLeast"/>
        <w:ind w:left="1188" w:hanging="1386" w:hangingChars="495"/>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遂宁国润排水有限公司</w:t>
      </w:r>
    </w:p>
    <w:p>
      <w:pPr>
        <w:pStyle w:val="56"/>
        <w:kinsoku/>
        <w:wordWrap/>
        <w:overflowPunct/>
        <w:bidi w:val="0"/>
        <w:spacing w:before="0" w:after="0" w:line="560" w:lineRule="atLeast"/>
        <w:ind w:left="-63" w:leftChars="-30" w:firstLine="560" w:firstLineChars="200"/>
        <w:textAlignment w:val="auto"/>
        <w:rPr>
          <w:rFonts w:ascii="仿宋_GB2312" w:hAnsi="仿宋" w:eastAsia="仿宋_GB2312"/>
        </w:rPr>
      </w:pP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84"/>
          <w:szCs w:val="84"/>
        </w:rPr>
      </w:pPr>
      <w:r>
        <w:rPr>
          <w:rFonts w:hint="eastAsia" w:ascii="仿宋_GB2312" w:hAnsi="仿宋" w:eastAsia="仿宋_GB2312"/>
          <w:sz w:val="84"/>
          <w:szCs w:val="84"/>
        </w:rPr>
        <w:t>服务管理方案</w:t>
      </w: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firstLine="1820" w:firstLineChars="650"/>
        <w:textAlignment w:val="auto"/>
        <w:rPr>
          <w:rFonts w:ascii="仿宋_GB2312" w:hAnsi="仿宋" w:eastAsia="仿宋_GB2312"/>
          <w:sz w:val="28"/>
          <w:szCs w:val="28"/>
        </w:rPr>
      </w:pPr>
    </w:p>
    <w:p>
      <w:pPr>
        <w:kinsoku/>
        <w:wordWrap/>
        <w:overflowPunct/>
        <w:bidi w:val="0"/>
        <w:spacing w:line="560" w:lineRule="atLeast"/>
        <w:ind w:left="-420" w:leftChars="-200" w:firstLine="1820" w:firstLineChars="650"/>
        <w:textAlignment w:val="auto"/>
        <w:rPr>
          <w:rFonts w:ascii="仿宋_GB2312" w:hAnsi="仿宋" w:eastAsia="仿宋_GB2312"/>
          <w:sz w:val="28"/>
          <w:szCs w:val="28"/>
        </w:rPr>
      </w:pPr>
      <w:r>
        <w:rPr>
          <w:rFonts w:hint="eastAsia" w:ascii="仿宋_GB2312" w:hAnsi="仿宋" w:eastAsia="仿宋_GB2312"/>
          <w:sz w:val="28"/>
          <w:szCs w:val="28"/>
        </w:rPr>
        <w:t>项目编号：</w:t>
      </w:r>
    </w:p>
    <w:p>
      <w:pPr>
        <w:kinsoku/>
        <w:wordWrap/>
        <w:overflowPunct/>
        <w:bidi w:val="0"/>
        <w:spacing w:line="560" w:lineRule="atLeast"/>
        <w:ind w:left="-420" w:leftChars="-200" w:firstLine="1820" w:firstLineChars="650"/>
        <w:textAlignment w:val="auto"/>
        <w:rPr>
          <w:rFonts w:ascii="仿宋_GB2312" w:hAnsi="仿宋" w:eastAsia="仿宋_GB2312"/>
          <w:sz w:val="28"/>
          <w:szCs w:val="28"/>
        </w:rPr>
      </w:pPr>
      <w:r>
        <w:rPr>
          <w:rFonts w:hint="eastAsia" w:ascii="仿宋_GB2312" w:hAnsi="仿宋" w:eastAsia="仿宋_GB2312"/>
          <w:sz w:val="28"/>
          <w:szCs w:val="28"/>
        </w:rPr>
        <w:t>项目名称：</w:t>
      </w: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left="-420" w:leftChars="-200"/>
        <w:jc w:val="center"/>
        <w:textAlignment w:val="auto"/>
        <w:rPr>
          <w:rFonts w:ascii="仿宋_GB2312" w:hAnsi="仿宋" w:eastAsia="仿宋_GB2312"/>
          <w:sz w:val="28"/>
          <w:szCs w:val="28"/>
        </w:rPr>
      </w:pPr>
      <w:r>
        <w:rPr>
          <w:rFonts w:hint="eastAsia" w:ascii="仿宋_GB2312" w:hAnsi="仿宋" w:eastAsia="仿宋_GB2312"/>
          <w:sz w:val="28"/>
          <w:szCs w:val="28"/>
        </w:rPr>
        <w:t>法定代表人或授权代理人签字：</w:t>
      </w:r>
    </w:p>
    <w:p>
      <w:pPr>
        <w:kinsoku/>
        <w:wordWrap/>
        <w:overflowPunct/>
        <w:bidi w:val="0"/>
        <w:spacing w:line="560" w:lineRule="atLeast"/>
        <w:ind w:firstLine="2240" w:firstLineChars="800"/>
        <w:textAlignment w:val="auto"/>
        <w:rPr>
          <w:rFonts w:ascii="仿宋_GB2312" w:hAnsi="仿宋" w:eastAsia="仿宋_GB2312"/>
          <w:sz w:val="28"/>
          <w:szCs w:val="28"/>
        </w:rPr>
      </w:pPr>
      <w:r>
        <w:rPr>
          <w:rFonts w:hint="eastAsia" w:ascii="仿宋_GB2312" w:hAnsi="仿宋" w:eastAsia="仿宋_GB2312"/>
          <w:sz w:val="28"/>
          <w:szCs w:val="28"/>
        </w:rPr>
        <w:t>供应商名称并盖公章：</w:t>
      </w:r>
    </w:p>
    <w:p>
      <w:pPr>
        <w:kinsoku/>
        <w:wordWrap/>
        <w:overflowPunct/>
        <w:bidi w:val="0"/>
        <w:spacing w:line="560" w:lineRule="atLeast"/>
        <w:ind w:left="-420" w:leftChars="-200"/>
        <w:jc w:val="center"/>
        <w:textAlignment w:val="auto"/>
        <w:rPr>
          <w:rFonts w:ascii="仿宋_GB2312" w:hAnsi="仿宋" w:eastAsia="仿宋_GB2312"/>
          <w:sz w:val="28"/>
          <w:szCs w:val="28"/>
        </w:rPr>
      </w:pPr>
    </w:p>
    <w:p>
      <w:pPr>
        <w:kinsoku/>
        <w:wordWrap/>
        <w:overflowPunct/>
        <w:bidi w:val="0"/>
        <w:spacing w:line="560" w:lineRule="atLeast"/>
        <w:ind w:firstLine="6020" w:firstLineChars="2150"/>
        <w:textAlignment w:val="auto"/>
      </w:pPr>
      <w:r>
        <w:rPr>
          <w:rFonts w:hint="eastAsia" w:ascii="仿宋_GB2312" w:hAnsi="仿宋" w:eastAsia="仿宋_GB2312"/>
          <w:sz w:val="28"/>
          <w:szCs w:val="28"/>
        </w:rPr>
        <w:t>年     月      日</w:t>
      </w:r>
    </w:p>
    <w:p>
      <w:pPr>
        <w:kinsoku/>
        <w:wordWrap/>
        <w:overflowPunct/>
        <w:bidi w:val="0"/>
        <w:spacing w:line="560" w:lineRule="atLeast"/>
        <w:ind w:firstLine="560" w:firstLineChars="200"/>
        <w:textAlignment w:val="auto"/>
        <w:rPr>
          <w:rFonts w:eastAsia="仿宋_GB2312"/>
          <w:sz w:val="28"/>
          <w:szCs w:val="28"/>
        </w:rPr>
      </w:pPr>
    </w:p>
    <w:p>
      <w:pPr>
        <w:kinsoku/>
        <w:wordWrap/>
        <w:overflowPunct/>
        <w:bidi w:val="0"/>
        <w:spacing w:line="560" w:lineRule="atLeast"/>
        <w:ind w:firstLine="560" w:firstLineChars="200"/>
        <w:textAlignment w:val="auto"/>
        <w:rPr>
          <w:rFonts w:eastAsia="仿宋_GB2312"/>
          <w:sz w:val="28"/>
          <w:szCs w:val="28"/>
        </w:rPr>
      </w:pPr>
    </w:p>
    <w:p>
      <w:pPr>
        <w:kinsoku/>
        <w:wordWrap/>
        <w:overflowPunct/>
        <w:bidi w:val="0"/>
        <w:spacing w:line="560" w:lineRule="atLeast"/>
        <w:jc w:val="center"/>
        <w:textAlignment w:val="auto"/>
        <w:rPr>
          <w:rFonts w:ascii="仿宋_GB2312" w:hAnsi="方正小标宋_GBK" w:eastAsia="仿宋_GB2312" w:cs="方正小标宋_GBK"/>
          <w:b/>
          <w:bCs/>
          <w:sz w:val="28"/>
          <w:szCs w:val="28"/>
        </w:rPr>
      </w:pPr>
      <w:r>
        <w:rPr>
          <w:rFonts w:hint="eastAsia" w:ascii="仿宋_GB2312" w:hAnsi="方正小标宋_GBK" w:eastAsia="仿宋_GB2312" w:cs="方正小标宋_GBK"/>
          <w:b/>
          <w:bCs/>
          <w:sz w:val="28"/>
          <w:szCs w:val="28"/>
        </w:rPr>
        <w:t>服务管理方案（格式自拟）</w:t>
      </w:r>
    </w:p>
    <w:p>
      <w:pPr>
        <w:pStyle w:val="3"/>
        <w:pageBreakBefore/>
        <w:numPr>
          <w:ilvl w:val="0"/>
          <w:numId w:val="0"/>
        </w:numPr>
        <w:kinsoku/>
        <w:wordWrap/>
        <w:overflowPunct/>
        <w:bidi w:val="0"/>
        <w:spacing w:line="560" w:lineRule="atLeast"/>
        <w:jc w:val="center"/>
        <w:textAlignment w:val="auto"/>
      </w:pPr>
      <w:r>
        <w:rPr>
          <w:rFonts w:hint="eastAsia"/>
        </w:rPr>
        <w:t>第五部分：合同主要条款</w:t>
      </w:r>
    </w:p>
    <w:p>
      <w:pPr>
        <w:kinsoku/>
        <w:wordWrap/>
        <w:overflowPunct/>
        <w:bidi w:val="0"/>
        <w:spacing w:line="560" w:lineRule="atLeast"/>
        <w:ind w:right="-147" w:rightChars="-70"/>
        <w:textAlignment w:val="auto"/>
        <w:rPr>
          <w:rFonts w:ascii="Tahoma" w:cs="Tahoma"/>
          <w:b/>
          <w:sz w:val="52"/>
          <w:szCs w:val="52"/>
        </w:rPr>
      </w:pPr>
    </w:p>
    <w:p>
      <w:pPr>
        <w:kinsoku/>
        <w:wordWrap/>
        <w:overflowPunct/>
        <w:bidi w:val="0"/>
        <w:spacing w:line="560" w:lineRule="atLeast"/>
        <w:ind w:left="-420" w:leftChars="-200" w:firstLine="418" w:firstLineChars="80"/>
        <w:jc w:val="center"/>
        <w:textAlignment w:val="auto"/>
        <w:rPr>
          <w:rFonts w:ascii="Tahoma" w:cs="Tahoma"/>
          <w:b/>
          <w:sz w:val="52"/>
          <w:szCs w:val="52"/>
        </w:rPr>
      </w:pPr>
      <w:r>
        <w:rPr>
          <w:rFonts w:hint="eastAsia" w:ascii="Tahoma" w:cs="Tahoma"/>
          <w:b/>
          <w:sz w:val="52"/>
          <w:szCs w:val="52"/>
        </w:rPr>
        <w:t>[生产运营数据、视频监控对接服务]</w:t>
      </w:r>
    </w:p>
    <w:p>
      <w:pPr>
        <w:kinsoku/>
        <w:wordWrap/>
        <w:overflowPunct/>
        <w:bidi w:val="0"/>
        <w:spacing w:line="560" w:lineRule="atLeast"/>
        <w:ind w:right="-147" w:rightChars="-70"/>
        <w:jc w:val="center"/>
        <w:textAlignment w:val="auto"/>
        <w:rPr>
          <w:rFonts w:ascii="Tahoma" w:cs="Tahoma"/>
          <w:b/>
          <w:sz w:val="52"/>
          <w:szCs w:val="52"/>
        </w:rPr>
      </w:pPr>
    </w:p>
    <w:p>
      <w:pPr>
        <w:kinsoku/>
        <w:wordWrap/>
        <w:overflowPunct/>
        <w:bidi w:val="0"/>
        <w:spacing w:line="560" w:lineRule="atLeast"/>
        <w:ind w:right="-147" w:rightChars="-70"/>
        <w:jc w:val="center"/>
        <w:textAlignment w:val="auto"/>
        <w:rPr>
          <w:rFonts w:ascii="Tahoma" w:cs="Tahoma"/>
          <w:b/>
          <w:sz w:val="52"/>
          <w:szCs w:val="52"/>
        </w:rPr>
      </w:pPr>
      <w:r>
        <w:rPr>
          <w:rFonts w:hint="eastAsia" w:ascii="Tahoma" w:cs="Tahoma"/>
          <w:b/>
          <w:sz w:val="52"/>
          <w:szCs w:val="52"/>
        </w:rPr>
        <w:t>采</w:t>
      </w:r>
    </w:p>
    <w:p>
      <w:pPr>
        <w:kinsoku/>
        <w:wordWrap/>
        <w:overflowPunct/>
        <w:bidi w:val="0"/>
        <w:spacing w:line="560" w:lineRule="atLeast"/>
        <w:ind w:right="-147" w:rightChars="-70"/>
        <w:jc w:val="center"/>
        <w:textAlignment w:val="auto"/>
        <w:rPr>
          <w:rFonts w:ascii="Tahoma" w:cs="Tahoma"/>
          <w:b/>
          <w:sz w:val="52"/>
          <w:szCs w:val="52"/>
        </w:rPr>
      </w:pPr>
    </w:p>
    <w:p>
      <w:pPr>
        <w:kinsoku/>
        <w:wordWrap/>
        <w:overflowPunct/>
        <w:bidi w:val="0"/>
        <w:spacing w:line="560" w:lineRule="atLeast"/>
        <w:ind w:right="-147" w:rightChars="-70"/>
        <w:jc w:val="center"/>
        <w:textAlignment w:val="auto"/>
        <w:rPr>
          <w:rFonts w:ascii="Tahoma" w:cs="Tahoma"/>
          <w:b/>
          <w:sz w:val="52"/>
          <w:szCs w:val="52"/>
        </w:rPr>
      </w:pPr>
      <w:r>
        <w:rPr>
          <w:rFonts w:hint="eastAsia" w:ascii="Tahoma" w:cs="Tahoma"/>
          <w:b/>
          <w:sz w:val="52"/>
          <w:szCs w:val="52"/>
        </w:rPr>
        <w:t>购</w:t>
      </w:r>
    </w:p>
    <w:p>
      <w:pPr>
        <w:kinsoku/>
        <w:wordWrap/>
        <w:overflowPunct/>
        <w:bidi w:val="0"/>
        <w:spacing w:line="560" w:lineRule="atLeast"/>
        <w:ind w:right="-147" w:rightChars="-70"/>
        <w:jc w:val="center"/>
        <w:textAlignment w:val="auto"/>
        <w:rPr>
          <w:rFonts w:ascii="Tahoma" w:cs="Tahoma"/>
          <w:b/>
          <w:sz w:val="52"/>
          <w:szCs w:val="52"/>
        </w:rPr>
      </w:pPr>
    </w:p>
    <w:p>
      <w:pPr>
        <w:kinsoku/>
        <w:wordWrap/>
        <w:overflowPunct/>
        <w:bidi w:val="0"/>
        <w:spacing w:line="560" w:lineRule="atLeast"/>
        <w:ind w:right="-147" w:rightChars="-70"/>
        <w:jc w:val="center"/>
        <w:textAlignment w:val="auto"/>
        <w:rPr>
          <w:rFonts w:ascii="Tahoma" w:hAnsi="宋体" w:cs="Tahoma"/>
          <w:b/>
          <w:sz w:val="52"/>
          <w:szCs w:val="52"/>
        </w:rPr>
      </w:pPr>
      <w:r>
        <w:rPr>
          <w:rFonts w:ascii="Tahoma" w:hAnsi="宋体" w:cs="Tahoma"/>
          <w:b/>
          <w:sz w:val="52"/>
          <w:szCs w:val="52"/>
        </w:rPr>
        <w:t>合</w:t>
      </w:r>
    </w:p>
    <w:p>
      <w:pPr>
        <w:kinsoku/>
        <w:wordWrap/>
        <w:overflowPunct/>
        <w:bidi w:val="0"/>
        <w:spacing w:line="560" w:lineRule="atLeast"/>
        <w:ind w:right="-147" w:rightChars="-70"/>
        <w:jc w:val="center"/>
        <w:textAlignment w:val="auto"/>
        <w:rPr>
          <w:rFonts w:ascii="Tahoma" w:hAnsi="宋体" w:cs="Tahoma"/>
          <w:b/>
          <w:sz w:val="52"/>
          <w:szCs w:val="52"/>
        </w:rPr>
      </w:pPr>
    </w:p>
    <w:p>
      <w:pPr>
        <w:kinsoku/>
        <w:wordWrap/>
        <w:overflowPunct/>
        <w:bidi w:val="0"/>
        <w:spacing w:line="560" w:lineRule="atLeast"/>
        <w:ind w:right="-147" w:rightChars="-70"/>
        <w:jc w:val="center"/>
        <w:textAlignment w:val="auto"/>
        <w:rPr>
          <w:rFonts w:ascii="Tahoma" w:hAnsi="Tahoma" w:cs="Tahoma"/>
          <w:b/>
          <w:sz w:val="52"/>
          <w:szCs w:val="52"/>
        </w:rPr>
      </w:pPr>
      <w:r>
        <w:rPr>
          <w:rFonts w:ascii="Tahoma" w:hAnsi="宋体" w:cs="Tahoma"/>
          <w:b/>
          <w:sz w:val="52"/>
          <w:szCs w:val="52"/>
        </w:rPr>
        <w:t>同</w:t>
      </w:r>
    </w:p>
    <w:p>
      <w:pPr>
        <w:kinsoku/>
        <w:wordWrap/>
        <w:overflowPunct/>
        <w:bidi w:val="0"/>
        <w:spacing w:line="560" w:lineRule="atLeast"/>
        <w:ind w:left="1980" w:right="2400" w:hanging="1980" w:hangingChars="275"/>
        <w:textAlignment w:val="auto"/>
        <w:rPr>
          <w:rFonts w:ascii="Tahoma" w:hAnsi="Tahoma" w:cs="Tahoma"/>
          <w:sz w:val="72"/>
          <w:szCs w:val="72"/>
        </w:rPr>
      </w:pPr>
    </w:p>
    <w:p>
      <w:pPr>
        <w:kinsoku/>
        <w:wordWrap/>
        <w:overflowPunct/>
        <w:bidi w:val="0"/>
        <w:spacing w:line="560" w:lineRule="atLeast"/>
        <w:ind w:left="1980" w:right="2400" w:hanging="1980" w:hangingChars="275"/>
        <w:textAlignment w:val="auto"/>
        <w:rPr>
          <w:rFonts w:ascii="Tahoma" w:hAnsi="Tahoma" w:cs="Tahoma"/>
          <w:sz w:val="72"/>
          <w:szCs w:val="72"/>
        </w:rPr>
      </w:pPr>
    </w:p>
    <w:p>
      <w:pPr>
        <w:kinsoku/>
        <w:wordWrap/>
        <w:overflowPunct/>
        <w:bidi w:val="0"/>
        <w:spacing w:line="560" w:lineRule="atLeast"/>
        <w:ind w:left="1980" w:right="2400" w:hanging="1980" w:hangingChars="275"/>
        <w:textAlignment w:val="auto"/>
        <w:rPr>
          <w:rFonts w:ascii="Tahoma" w:hAnsi="Tahoma" w:cs="Tahoma"/>
          <w:sz w:val="72"/>
          <w:szCs w:val="72"/>
        </w:rPr>
      </w:pPr>
    </w:p>
    <w:p>
      <w:pPr>
        <w:kinsoku/>
        <w:wordWrap/>
        <w:overflowPunct/>
        <w:bidi w:val="0"/>
        <w:spacing w:line="560" w:lineRule="atLeast"/>
        <w:ind w:right="2400"/>
        <w:textAlignment w:val="auto"/>
        <w:rPr>
          <w:rFonts w:ascii="Tahoma" w:hAnsi="Tahoma" w:cs="Tahoma"/>
          <w:sz w:val="72"/>
          <w:szCs w:val="72"/>
        </w:rPr>
      </w:pPr>
    </w:p>
    <w:p>
      <w:pPr>
        <w:kinsoku/>
        <w:wordWrap/>
        <w:overflowPunct/>
        <w:bidi w:val="0"/>
        <w:spacing w:line="560" w:lineRule="atLeast"/>
        <w:ind w:left="1980" w:right="2400" w:hanging="1980" w:hangingChars="275"/>
        <w:textAlignment w:val="auto"/>
        <w:rPr>
          <w:rFonts w:ascii="Tahoma" w:hAnsi="Tahoma" w:cs="Tahoma"/>
          <w:sz w:val="72"/>
          <w:szCs w:val="72"/>
        </w:rPr>
      </w:pPr>
    </w:p>
    <w:p>
      <w:pPr>
        <w:kinsoku/>
        <w:wordWrap/>
        <w:overflowPunct/>
        <w:bidi w:val="0"/>
        <w:spacing w:line="560" w:lineRule="atLeast"/>
        <w:ind w:left="770" w:right="2400" w:hanging="770" w:hangingChars="275"/>
        <w:textAlignment w:val="auto"/>
        <w:rPr>
          <w:rFonts w:ascii="Tahoma" w:hAnsi="Tahoma" w:cs="Tahoma"/>
          <w:sz w:val="28"/>
          <w:szCs w:val="28"/>
        </w:rPr>
      </w:pPr>
      <w:r>
        <w:rPr>
          <w:rFonts w:hint="eastAsia" w:ascii="Tahoma" w:hAnsi="Tahoma" w:cs="Tahoma"/>
          <w:sz w:val="28"/>
          <w:szCs w:val="28"/>
        </w:rPr>
        <w:t xml:space="preserve">              合同编号：[                 ]</w:t>
      </w:r>
    </w:p>
    <w:p>
      <w:pPr>
        <w:kinsoku/>
        <w:wordWrap/>
        <w:overflowPunct/>
        <w:bidi w:val="0"/>
        <w:spacing w:line="560" w:lineRule="atLeast"/>
        <w:ind w:right="2400"/>
        <w:textAlignment w:val="auto"/>
        <w:rPr>
          <w:rFonts w:ascii="Tahoma" w:hAnsi="Tahoma" w:cs="Tahoma"/>
          <w:sz w:val="28"/>
          <w:szCs w:val="28"/>
        </w:rPr>
      </w:pPr>
      <w:r>
        <w:rPr>
          <w:rFonts w:hint="eastAsia" w:ascii="Tahoma" w:hAnsi="Tahoma" w:cs="Tahoma"/>
          <w:sz w:val="28"/>
          <w:szCs w:val="28"/>
        </w:rPr>
        <w:t xml:space="preserve">              签署地点：[                 ]</w:t>
      </w:r>
    </w:p>
    <w:p>
      <w:pPr>
        <w:kinsoku/>
        <w:wordWrap/>
        <w:overflowPunct/>
        <w:bidi w:val="0"/>
        <w:spacing w:line="560" w:lineRule="atLeast"/>
        <w:ind w:right="2400"/>
        <w:textAlignment w:val="auto"/>
        <w:rPr>
          <w:rFonts w:ascii="Tahoma" w:hAnsi="Tahoma" w:cs="Tahoma"/>
          <w:sz w:val="28"/>
          <w:szCs w:val="28"/>
        </w:rPr>
      </w:pPr>
      <w:r>
        <w:rPr>
          <w:rFonts w:hint="eastAsia" w:ascii="Tahoma" w:hAnsi="Tahoma" w:cs="Tahoma"/>
          <w:sz w:val="28"/>
          <w:szCs w:val="28"/>
        </w:rPr>
        <w:t xml:space="preserve">              </w:t>
      </w:r>
      <w:r>
        <w:rPr>
          <w:rFonts w:hint="eastAsia"/>
          <w:sz w:val="28"/>
          <w:szCs w:val="28"/>
        </w:rPr>
        <w:t>签署日期：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日</w:t>
      </w:r>
    </w:p>
    <w:p>
      <w:pPr>
        <w:widowControl/>
        <w:kinsoku/>
        <w:wordWrap/>
        <w:overflowPunct/>
        <w:bidi w:val="0"/>
        <w:spacing w:line="560" w:lineRule="atLeast"/>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sz w:val="32"/>
          <w:szCs w:val="32"/>
        </w:rPr>
        <w:br w:type="page"/>
      </w:r>
    </w:p>
    <w:p>
      <w:pPr>
        <w:pStyle w:val="56"/>
        <w:keepNext w:val="0"/>
        <w:keepLines w:val="0"/>
        <w:pageBreakBefore w:val="0"/>
        <w:kinsoku/>
        <w:wordWrap/>
        <w:overflowPunct/>
        <w:topLinePunct w:val="0"/>
        <w:autoSpaceDE/>
        <w:autoSpaceDN/>
        <w:bidi w:val="0"/>
        <w:adjustRightInd/>
        <w:spacing w:before="0" w:after="0" w:line="540" w:lineRule="atLeast"/>
        <w:ind w:left="1188" w:hanging="1188" w:hangingChars="495"/>
        <w:textAlignment w:val="auto"/>
        <w:rPr>
          <w:bCs/>
          <w:color w:val="000000" w:themeColor="text1"/>
          <w:sz w:val="24"/>
          <w:szCs w:val="24"/>
          <w14:textFill>
            <w14:solidFill>
              <w14:schemeClr w14:val="tx1"/>
            </w14:solidFill>
          </w14:textFill>
        </w:rPr>
      </w:pPr>
      <w:r>
        <w:rPr>
          <w:rFonts w:ascii="宋体" w:hAnsi="宋体"/>
          <w:color w:val="000000" w:themeColor="text1"/>
          <w:sz w:val="24"/>
          <w14:textFill>
            <w14:solidFill>
              <w14:schemeClr w14:val="tx1"/>
            </w14:solidFill>
          </w14:textFill>
        </w:rPr>
        <w:t>甲方</w:t>
      </w: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w:t>
      </w:r>
      <w:r>
        <w:rPr>
          <w:rFonts w:hint="eastAsia"/>
          <w:bCs/>
          <w:color w:val="000000" w:themeColor="text1"/>
          <w:sz w:val="24"/>
          <w:szCs w:val="24"/>
          <w14:textFill>
            <w14:solidFill>
              <w14:schemeClr w14:val="tx1"/>
            </w14:solidFill>
          </w14:textFill>
        </w:rPr>
        <w:t>南部县国润排水有限公司</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p>
    <w:p>
      <w:pPr>
        <w:pStyle w:val="56"/>
        <w:keepNext w:val="0"/>
        <w:keepLines w:val="0"/>
        <w:pageBreakBefore w:val="0"/>
        <w:kinsoku/>
        <w:wordWrap/>
        <w:overflowPunct/>
        <w:topLinePunct w:val="0"/>
        <w:autoSpaceDE/>
        <w:autoSpaceDN/>
        <w:bidi w:val="0"/>
        <w:adjustRightInd/>
        <w:spacing w:before="0" w:after="0" w:line="540" w:lineRule="atLeast"/>
        <w:ind w:left="1188" w:hanging="1188" w:hangingChars="495"/>
        <w:textAlignment w:val="auto"/>
        <w:rPr>
          <w:bCs/>
          <w:color w:val="000000" w:themeColor="text1"/>
          <w:sz w:val="24"/>
          <w:szCs w:val="24"/>
          <w14:textFill>
            <w14:solidFill>
              <w14:schemeClr w14:val="tx1"/>
            </w14:solidFill>
          </w14:textFill>
        </w:rPr>
      </w:pPr>
      <w:r>
        <w:rPr>
          <w:rFonts w:ascii="宋体" w:hAnsi="宋体"/>
          <w:color w:val="000000" w:themeColor="text1"/>
          <w:sz w:val="24"/>
          <w14:textFill>
            <w14:solidFill>
              <w14:schemeClr w14:val="tx1"/>
            </w14:solidFill>
          </w14:textFill>
        </w:rPr>
        <w:t>甲方</w:t>
      </w:r>
      <w:r>
        <w:rPr>
          <w:rFonts w:hint="eastAsia" w:ascii="宋体" w:hAnsi="宋体"/>
          <w:color w:val="000000" w:themeColor="text1"/>
          <w:sz w:val="24"/>
          <w14:textFill>
            <w14:solidFill>
              <w14:schemeClr w14:val="tx1"/>
            </w14:solidFill>
          </w14:textFill>
        </w:rPr>
        <w:t>二</w:t>
      </w:r>
      <w:r>
        <w:rPr>
          <w:rFonts w:ascii="宋体" w:hAnsi="宋体"/>
          <w:color w:val="000000" w:themeColor="text1"/>
          <w:sz w:val="24"/>
          <w14:textFill>
            <w14:solidFill>
              <w14:schemeClr w14:val="tx1"/>
            </w14:solidFill>
          </w14:textFill>
        </w:rPr>
        <w:t>：</w:t>
      </w:r>
      <w:r>
        <w:rPr>
          <w:rFonts w:hint="eastAsia"/>
          <w:bCs/>
          <w:color w:val="000000" w:themeColor="text1"/>
          <w:sz w:val="24"/>
          <w:szCs w:val="24"/>
          <w14:textFill>
            <w14:solidFill>
              <w14:schemeClr w14:val="tx1"/>
            </w14:solidFill>
          </w14:textFill>
        </w:rPr>
        <w:t>仪陇国润排水有限公司</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p>
    <w:p>
      <w:pPr>
        <w:pStyle w:val="56"/>
        <w:keepNext w:val="0"/>
        <w:keepLines w:val="0"/>
        <w:pageBreakBefore w:val="0"/>
        <w:kinsoku/>
        <w:wordWrap/>
        <w:overflowPunct/>
        <w:topLinePunct w:val="0"/>
        <w:autoSpaceDE/>
        <w:autoSpaceDN/>
        <w:bidi w:val="0"/>
        <w:adjustRightInd/>
        <w:spacing w:before="0" w:after="0" w:line="540" w:lineRule="atLeast"/>
        <w:ind w:left="1188" w:hanging="1188" w:hangingChars="495"/>
        <w:textAlignment w:val="auto"/>
        <w:rPr>
          <w:bCs/>
          <w:color w:val="000000" w:themeColor="text1"/>
          <w:sz w:val="24"/>
          <w:szCs w:val="24"/>
          <w14:textFill>
            <w14:solidFill>
              <w14:schemeClr w14:val="tx1"/>
            </w14:solidFill>
          </w14:textFill>
        </w:rPr>
      </w:pPr>
      <w:r>
        <w:rPr>
          <w:rFonts w:ascii="宋体" w:hAnsi="宋体"/>
          <w:color w:val="000000" w:themeColor="text1"/>
          <w:sz w:val="24"/>
          <w14:textFill>
            <w14:solidFill>
              <w14:schemeClr w14:val="tx1"/>
            </w14:solidFill>
          </w14:textFill>
        </w:rPr>
        <w:t>甲方</w:t>
      </w:r>
      <w:r>
        <w:rPr>
          <w:rFonts w:hint="eastAsia" w:ascii="宋体" w:hAnsi="宋体"/>
          <w:color w:val="000000" w:themeColor="text1"/>
          <w:sz w:val="24"/>
          <w14:textFill>
            <w14:solidFill>
              <w14:schemeClr w14:val="tx1"/>
            </w14:solidFill>
          </w14:textFill>
        </w:rPr>
        <w:t>三</w:t>
      </w:r>
      <w:r>
        <w:rPr>
          <w:rFonts w:ascii="宋体" w:hAnsi="宋体"/>
          <w:color w:val="000000" w:themeColor="text1"/>
          <w:sz w:val="24"/>
          <w14:textFill>
            <w14:solidFill>
              <w14:schemeClr w14:val="tx1"/>
            </w14:solidFill>
          </w14:textFill>
        </w:rPr>
        <w:t>：</w:t>
      </w:r>
      <w:r>
        <w:rPr>
          <w:rFonts w:hint="eastAsia"/>
          <w:bCs/>
          <w:color w:val="000000" w:themeColor="text1"/>
          <w:sz w:val="24"/>
          <w:szCs w:val="24"/>
          <w14:textFill>
            <w14:solidFill>
              <w14:schemeClr w14:val="tx1"/>
            </w14:solidFill>
          </w14:textFill>
        </w:rPr>
        <w:t>南充国润排水有限公司</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p>
    <w:p>
      <w:pPr>
        <w:pStyle w:val="39"/>
        <w:keepNext w:val="0"/>
        <w:keepLines w:val="0"/>
        <w:pageBreakBefore w:val="0"/>
        <w:kinsoku/>
        <w:wordWrap/>
        <w:overflowPunct/>
        <w:topLinePunct w:val="0"/>
        <w:autoSpaceDE/>
        <w:autoSpaceDN/>
        <w:bidi w:val="0"/>
        <w:adjustRightInd/>
        <w:spacing w:line="540" w:lineRule="atLeast"/>
        <w:ind w:left="0" w:leftChars="0" w:firstLine="0" w:firstLineChars="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甲方</w:t>
      </w:r>
      <w:r>
        <w:rPr>
          <w:rFonts w:hint="eastAsia" w:ascii="宋体" w:hAnsi="宋体"/>
          <w:color w:val="000000" w:themeColor="text1"/>
          <w:sz w:val="24"/>
          <w14:textFill>
            <w14:solidFill>
              <w14:schemeClr w14:val="tx1"/>
            </w14:solidFill>
          </w14:textFill>
        </w:rPr>
        <w:t>四</w:t>
      </w:r>
      <w:r>
        <w:rPr>
          <w:rFonts w:ascii="宋体" w:hAnsi="宋体"/>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南充国润荆溪排水有限公司</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p>
      <w:pPr>
        <w:keepNext w:val="0"/>
        <w:keepLines w:val="0"/>
        <w:pageBreakBefore w:val="0"/>
        <w:kinsoku/>
        <w:wordWrap/>
        <w:overflowPunct/>
        <w:topLinePunct w:val="0"/>
        <w:autoSpaceDE/>
        <w:autoSpaceDN/>
        <w:bidi w:val="0"/>
        <w:adjustRightInd/>
        <w:spacing w:line="540" w:lineRule="atLeas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甲方</w:t>
      </w:r>
      <w:r>
        <w:rPr>
          <w:rFonts w:hint="eastAsia" w:ascii="宋体" w:hAnsi="宋体"/>
          <w:color w:val="000000" w:themeColor="text1"/>
          <w:sz w:val="24"/>
          <w:lang w:eastAsia="zh-CN"/>
          <w14:textFill>
            <w14:solidFill>
              <w14:schemeClr w14:val="tx1"/>
            </w14:solidFill>
          </w14:textFill>
        </w:rPr>
        <w:t>五</w:t>
      </w:r>
      <w:r>
        <w:rPr>
          <w:rFonts w:ascii="宋体" w:hAnsi="宋体"/>
          <w:color w:val="000000" w:themeColor="text1"/>
          <w:sz w:val="24"/>
          <w14:textFill>
            <w14:solidFill>
              <w14:schemeClr w14:val="tx1"/>
            </w14:solidFill>
          </w14:textFill>
        </w:rPr>
        <w:t>：</w:t>
      </w:r>
      <w:r>
        <w:rPr>
          <w:rFonts w:hint="eastAsia" w:ascii="Arial" w:hAnsi="Arial"/>
          <w:bCs/>
          <w:color w:val="000000" w:themeColor="text1"/>
          <w:sz w:val="24"/>
          <w14:textFill>
            <w14:solidFill>
              <w14:schemeClr w14:val="tx1"/>
            </w14:solidFill>
          </w14:textFill>
        </w:rPr>
        <w:t>遂宁国润排水有限公司</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p>
    <w:p>
      <w:pPr>
        <w:keepNext w:val="0"/>
        <w:keepLines w:val="0"/>
        <w:pageBreakBefore w:val="0"/>
        <w:kinsoku/>
        <w:wordWrap/>
        <w:overflowPunct/>
        <w:topLinePunct w:val="0"/>
        <w:autoSpaceDE/>
        <w:autoSpaceDN/>
        <w:bidi w:val="0"/>
        <w:adjustRightInd/>
        <w:spacing w:line="540" w:lineRule="atLeas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p>
      <w:pPr>
        <w:kinsoku/>
        <w:wordWrap/>
        <w:overflowPunct/>
        <w:bidi w:val="0"/>
        <w:spacing w:line="560" w:lineRule="atLeast"/>
        <w:textAlignment w:val="auto"/>
        <w:rPr>
          <w:rFonts w:ascii="宋体" w:hAnsi="宋体"/>
          <w:sz w:val="24"/>
        </w:rPr>
      </w:pPr>
      <w:r>
        <w:rPr>
          <w:rFonts w:hint="eastAsia" w:ascii="宋体" w:hAnsi="宋体"/>
          <w:color w:val="000000" w:themeColor="text1"/>
          <w:sz w:val="24"/>
          <w14:textFill>
            <w14:solidFill>
              <w14:schemeClr w14:val="tx1"/>
            </w14:solidFill>
          </w14:textFill>
        </w:rPr>
        <w:t>联系方式：</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 xml:space="preserve">    甲、乙双方经友好协商，本着共同合作和互惠互利的原则，就甲方向乙方购买本合同附件一所述之标的事宜订立如下合同条款，以兹共同遵守：</w:t>
      </w:r>
    </w:p>
    <w:p>
      <w:pPr>
        <w:widowControl/>
        <w:numPr>
          <w:ilvl w:val="0"/>
          <w:numId w:val="11"/>
        </w:num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合同标的（服务的名称、方式、内容、目标、周期、要求、服务商、报价、数量、金额）</w:t>
      </w:r>
    </w:p>
    <w:p>
      <w:pPr>
        <w:widowControl/>
        <w:kinsoku/>
        <w:wordWrap/>
        <w:overflowPunct/>
        <w:bidi w:val="0"/>
        <w:spacing w:line="560" w:lineRule="atLeast"/>
        <w:ind w:firstLine="480" w:firstLineChars="200"/>
        <w:textAlignment w:val="auto"/>
        <w:rPr>
          <w:rFonts w:asciiTheme="minorEastAsia" w:hAnsiTheme="minorEastAsia"/>
          <w:sz w:val="24"/>
        </w:rPr>
      </w:pPr>
      <w:r>
        <w:rPr>
          <w:rFonts w:hint="eastAsia" w:asciiTheme="minorEastAsia" w:hAnsiTheme="minorEastAsia"/>
          <w:sz w:val="24"/>
        </w:rPr>
        <w:t>详见附件一</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 xml:space="preserve">1.1  本合同金额为项目单价，项目单价包括但不限于现在和将来的所有税款与其它财政和公共费用，及服务完成前所需的费用、成本以及利润等，乙方不得向甲方要求合同总金额以外的任何费用。 </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1.2  乙方同意，在执行本合同过程中，如甲方发现其它任何第三方供应商以低于本合同的价格提供本合同第一条/附件一所述之服务，或乙方向其他任何第三方采购商以低于本合同价格出售本合同第一条/附件一所述之服务，甲方有权要求乙方调低价格，乙方应相应予以调整，如甲、乙双方在甲方提出降价要求之日起[   ]天内无法就价格调整事宜达成一致，甲方有权选择继续履行本合同或提前终止本合同。</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1.3  乙方同意，除调低服务价格外，在本合同有效期内，不得对本合同项下服务价格进行调整或变更。</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二、服务与监督</w:t>
      </w:r>
    </w:p>
    <w:p>
      <w:pPr>
        <w:kinsoku/>
        <w:wordWrap/>
        <w:overflowPunct/>
        <w:bidi w:val="0"/>
        <w:spacing w:line="560" w:lineRule="atLeast"/>
        <w:ind w:left="2" w:firstLine="16" w:firstLineChars="7"/>
        <w:textAlignment w:val="auto"/>
        <w:rPr>
          <w:rFonts w:asciiTheme="minorEastAsia" w:hAnsiTheme="minorEastAsia"/>
          <w:sz w:val="24"/>
        </w:rPr>
      </w:pPr>
      <w:r>
        <w:rPr>
          <w:rFonts w:hint="eastAsia" w:asciiTheme="minorEastAsia" w:hAnsiTheme="minorEastAsia"/>
          <w:sz w:val="24"/>
        </w:rPr>
        <w:t>2.1  乙方收到甲方进驻现场的通知后进驻服务现场，应并按照本合同约定的期限和质量，向甲方提供服务，甲方应向乙方提供必要的配合。</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2.2  甲方有权对乙方提供的服务进行监督，并随时抽查乙方的服务质量，如甲方认为乙方所提供的服务未能符合本合同要求，有权要求乙方进行返工或相应调整，否则甲方有权拒绝继续接受服务，并要求乙方承担损失（如有）赔偿责任，甲方的该等拒绝不视为对本合同的违反。</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2.3  乙方应自行配备其提供服务所需之设备、工具及相关人员，除非在本合同中另有规定，服务期间，因乙方提供服务导致的设备损失或人员伤害，由乙方负责，如甲方因此承担了任何责任或赔偿，甲方有权向乙方追偿。</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三、乙方保证甲方免受第三方提出的侵犯其知识产权的起诉。</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四、付款日期以及方式</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4.1  如双方选择一次性付款的，乙方应在甲方通知验收合格后向甲方开具等额有效的</w:t>
      </w:r>
      <w:r>
        <w:rPr>
          <w:rFonts w:hint="eastAsia" w:asciiTheme="minorEastAsia" w:hAnsiTheme="minorEastAsia"/>
          <w:sz w:val="24"/>
          <w:lang w:eastAsia="zh-CN"/>
        </w:rPr>
        <w:t>增值税专用</w:t>
      </w:r>
      <w:r>
        <w:rPr>
          <w:rFonts w:hint="eastAsia" w:asciiTheme="minorEastAsia" w:hAnsiTheme="minorEastAsia"/>
          <w:sz w:val="24"/>
        </w:rPr>
        <w:t>发票，甲方应在收到发票后[15]日内向下述账号支付该款项。</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 xml:space="preserve">开户银行：     </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户名：</w:t>
      </w:r>
      <w:r>
        <w:rPr>
          <w:rFonts w:asciiTheme="minorEastAsia" w:hAnsiTheme="minorEastAsia"/>
          <w:sz w:val="24"/>
        </w:rPr>
        <w:t xml:space="preserve"> </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账号：</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4.2  如双方选择分期付款的，本合同签署后[/]日内，甲方支付合同总价的[/]%作为订金，计人民币[/]元（大写：人民币[/]元整）。乙方向甲方提供完毕全部服务后 [/]日内，甲方向乙方支付剩余的全部价款，计人民币[/]元（大写：人民币[/]元整）。乙方应在甲方付款前向甲方逐笔开具等额有效的</w:t>
      </w:r>
      <w:r>
        <w:rPr>
          <w:rFonts w:hint="eastAsia" w:asciiTheme="minorEastAsia" w:hAnsiTheme="minorEastAsia"/>
          <w:sz w:val="24"/>
          <w:lang w:eastAsia="zh-CN"/>
        </w:rPr>
        <w:t>增值税专用</w:t>
      </w:r>
      <w:r>
        <w:rPr>
          <w:rFonts w:hint="eastAsia" w:asciiTheme="minorEastAsia" w:hAnsiTheme="minorEastAsia"/>
          <w:sz w:val="24"/>
        </w:rPr>
        <w:t>发票，甲方凭乙方开具的该等发票付款。</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4.3  无论本合同有何约定，如乙方为增值税纳税人，乙方应在甲方付款前向甲方提供相应款项的增值税专用发票（含两联：发票联与抵扣联）；如乙方为非增值税纳税人，乙方应在甲方付款前向甲方提供相应款项的普通发票。若乙方提供的发票不符合甲方要求，则甲方有权拒付或延付款项。</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五、违约责任</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5.1  如因乙方自身原因导致其未能在本合同约定服务期内（除执行过程中该时间有可能经双方同意予以改动或因甲方现场条件不具备造成时间延长）提供完毕全部服务，乙方应向甲方支付迟延部分的合同金额[5]%的违约金。如延期超过一个月，甲方有权提前终止本合同，并要求乙方赔偿其因此遭受的损失。</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5.2  如因甲方自身原因导致其未能按本合同约定时间和方式支付合同价款，甲方应向乙方支付迟延部分的价款的</w:t>
      </w:r>
      <w:r>
        <w:rPr>
          <w:rFonts w:hint="eastAsia" w:asciiTheme="minorEastAsia" w:hAnsiTheme="minorEastAsia"/>
          <w:sz w:val="24"/>
          <w:u w:val="single"/>
        </w:rPr>
        <w:t>[5]</w:t>
      </w:r>
      <w:r>
        <w:rPr>
          <w:rFonts w:hint="eastAsia" w:asciiTheme="minorEastAsia" w:hAnsiTheme="minorEastAsia"/>
          <w:sz w:val="24"/>
        </w:rPr>
        <w:t>%的滞纳金。</w:t>
      </w:r>
    </w:p>
    <w:p>
      <w:pPr>
        <w:pStyle w:val="24"/>
        <w:kinsoku/>
        <w:wordWrap/>
        <w:overflowPunct/>
        <w:bidi w:val="0"/>
        <w:snapToGrid w:val="0"/>
        <w:spacing w:line="560" w:lineRule="atLeast"/>
        <w:ind w:left="2"/>
        <w:textAlignment w:val="auto"/>
        <w:rPr>
          <w:rFonts w:asciiTheme="minorEastAsia" w:hAnsiTheme="minorEastAsia" w:eastAsiaTheme="minorEastAsia"/>
          <w:sz w:val="24"/>
          <w:szCs w:val="24"/>
        </w:rPr>
      </w:pPr>
      <w:r>
        <w:rPr>
          <w:rFonts w:hint="eastAsia" w:asciiTheme="minorEastAsia" w:hAnsiTheme="minorEastAsia"/>
          <w:sz w:val="24"/>
          <w:szCs w:val="24"/>
        </w:rPr>
        <w:t xml:space="preserve">5.3  </w:t>
      </w:r>
      <w:r>
        <w:rPr>
          <w:rFonts w:hint="eastAsia" w:asciiTheme="minorEastAsia" w:hAnsiTheme="minorEastAsia" w:eastAsiaTheme="minorEastAsia"/>
          <w:sz w:val="24"/>
          <w:szCs w:val="24"/>
        </w:rPr>
        <w:t>乙方提供的服务不能达到约定或国家规定的质量标准的，甲方有权拒付未付款项并视情况同意乙方予以返工或调整，在乙方完成该等返工或调整之前，乙方无权要求甲方支付任何款项。如乙方未能在甲方同意的期限内按甲方要求或本合同规定进行返工或调整，甲方有权视服务的具体质量选择：</w:t>
      </w:r>
    </w:p>
    <w:p>
      <w:pPr>
        <w:pStyle w:val="24"/>
        <w:kinsoku/>
        <w:wordWrap/>
        <w:overflowPunct/>
        <w:bidi w:val="0"/>
        <w:snapToGrid w:val="0"/>
        <w:spacing w:line="560" w:lineRule="atLeast"/>
        <w:ind w:left="2"/>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5.3.1  要求乙方降低价格；</w:t>
      </w:r>
    </w:p>
    <w:p>
      <w:pPr>
        <w:pStyle w:val="24"/>
        <w:kinsoku/>
        <w:wordWrap/>
        <w:overflowPunct/>
        <w:bidi w:val="0"/>
        <w:snapToGrid w:val="0"/>
        <w:spacing w:line="560" w:lineRule="atLeast"/>
        <w:ind w:left="2"/>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5.3.2  提前终止本合同，并要求乙方承担违约责任，向甲方支付相当于合同总价款[5]%的违约金。</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5.4  除非双方协议提前终止本合同，或甲方按照本合同约定提前终止本合同，因一方违约导致合同无法履行，违约方按照本合同约定承担违约责任后仍应继续履行本合同。</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六、甲、乙双方一致确认，甲方有权提前[10]个工作日书面通知乙方以提前终止本合同，该等通知自到达乙方和/或其授权联系人处即行生效。乙方同意，甲方按照本条约定提前终止本合同不视为对本合同的违反，不承担任何违约责任，乙方应返还甲方按照本合同已支付的款项（如有）。</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七、廉洁履约</w:t>
      </w:r>
    </w:p>
    <w:p>
      <w:pPr>
        <w:kinsoku/>
        <w:wordWrap/>
        <w:overflowPunct/>
        <w:bidi w:val="0"/>
        <w:spacing w:line="560" w:lineRule="atLeast"/>
        <w:textAlignment w:val="auto"/>
        <w:rPr>
          <w:rFonts w:asciiTheme="minorEastAsia" w:hAnsiTheme="minorEastAsia"/>
          <w:sz w:val="24"/>
        </w:rPr>
      </w:pPr>
      <w:r>
        <w:rPr>
          <w:rFonts w:asciiTheme="minorEastAsia" w:hAnsiTheme="minorEastAsia"/>
          <w:sz w:val="24"/>
        </w:rPr>
        <w:t>7.1</w:t>
      </w:r>
      <w:r>
        <w:rPr>
          <w:rFonts w:hint="eastAsia" w:asciiTheme="minorEastAsia" w:hAnsiTheme="minorEastAsia"/>
          <w:sz w:val="24"/>
        </w:rPr>
        <w:t xml:space="preserve">  乙方应始终采取适当的措施，防止乙方，或者代理乙方履行合同之一方，或者代替乙方提供服务之一方（前述乙方均包括但不限于乙方的雇员、代理人、子公司、代表和分包商等）在任何情况下违反或者试图违反任何关于反行贿受贿、反贪污等法律（无论乙方是否知晓该种行为）。</w:t>
      </w:r>
    </w:p>
    <w:p>
      <w:pPr>
        <w:kinsoku/>
        <w:wordWrap/>
        <w:overflowPunct/>
        <w:bidi w:val="0"/>
        <w:spacing w:line="560" w:lineRule="atLeast"/>
        <w:textAlignment w:val="auto"/>
        <w:rPr>
          <w:rFonts w:asciiTheme="minorEastAsia" w:hAnsiTheme="minorEastAsia"/>
          <w:sz w:val="24"/>
        </w:rPr>
      </w:pPr>
      <w:r>
        <w:rPr>
          <w:rFonts w:asciiTheme="minorEastAsia" w:hAnsiTheme="minorEastAsia"/>
          <w:sz w:val="24"/>
        </w:rPr>
        <w:t>7.2</w:t>
      </w:r>
      <w:r>
        <w:rPr>
          <w:rFonts w:hint="eastAsia" w:asciiTheme="minorEastAsia" w:hAnsiTheme="minorEastAsia"/>
          <w:sz w:val="24"/>
        </w:rPr>
        <w:t xml:space="preserve">  若乙方，或者代理乙方履行合同之一方，或者代表乙方提供服务之一方（前述乙方均包括但不限于乙方的雇员、代理人、子公司、代表和分包商等）在任何情况下违反或者试图违反任何关于反行贿受贿、反贪污等法律（无论乙方是否知晓该种行为），甲方有权解除本合同，乙方应赔偿甲方因本合同终止而发生的所有成本、损失、损害和费用。为避免疑义，本合同的终止并不影响甲方在本合同项下或者其他方面的其他权利和补救方法。</w:t>
      </w:r>
    </w:p>
    <w:p>
      <w:pPr>
        <w:kinsoku/>
        <w:wordWrap/>
        <w:overflowPunct/>
        <w:bidi w:val="0"/>
        <w:spacing w:line="560" w:lineRule="atLeast"/>
        <w:textAlignment w:val="auto"/>
        <w:rPr>
          <w:rFonts w:asciiTheme="minorEastAsia" w:hAnsiTheme="minorEastAsia"/>
          <w:sz w:val="24"/>
        </w:rPr>
      </w:pPr>
      <w:r>
        <w:rPr>
          <w:rFonts w:asciiTheme="minorEastAsia" w:hAnsiTheme="minorEastAsia"/>
          <w:sz w:val="24"/>
        </w:rPr>
        <w:t>7.3</w:t>
      </w:r>
      <w:r>
        <w:rPr>
          <w:rFonts w:hint="eastAsia" w:asciiTheme="minorEastAsia" w:hAnsiTheme="minorEastAsia"/>
          <w:sz w:val="24"/>
        </w:rPr>
        <w:t xml:space="preserve">  若乙方雇佣的或者代表其利益的任何人违反或者试图违反任何关于反行贿受贿、反贪污的法律，乙方应立即通知甲方。关于此事的所有通知应被发送到以下电子邮箱：[jjjcb@protrendwater.com]。</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八、保密条款:甲方因履行本合同向乙方所提供的图纸、文件等资料（如有），乙方应严格进行保密，且不得将该等资料向任何第三方复制或披露。本条款不因本合同的终止而失效。</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九、争议解决方式：本合同适用中华人民共和国法律并据其解释。因执行本合同发生争议，由双方协商解决；协商解决不成的，任何一方可以直接向甲方所在地人民法院起诉。</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十、合同生效及其他：本合同壹式肆份，双方各执贰份，均具有同等效力，自甲乙双方签订之日起开始生效。本合同执行期间如有未尽事宜，由双方协商后可另行签署补充协议，补充协议与本合同具有同等法律效力。</w:t>
      </w:r>
    </w:p>
    <w:p>
      <w:pPr>
        <w:kinsoku/>
        <w:wordWrap/>
        <w:overflowPunct/>
        <w:bidi w:val="0"/>
        <w:spacing w:line="560" w:lineRule="atLeast"/>
        <w:textAlignment w:val="auto"/>
        <w:rPr>
          <w:rFonts w:asciiTheme="minorEastAsia" w:hAnsiTheme="minorEastAsia"/>
          <w:sz w:val="24"/>
        </w:rPr>
      </w:pPr>
    </w:p>
    <w:p>
      <w:pPr>
        <w:kinsoku/>
        <w:wordWrap/>
        <w:overflowPunct/>
        <w:bidi w:val="0"/>
        <w:spacing w:line="560" w:lineRule="atLeast"/>
        <w:textAlignment w:val="auto"/>
        <w:rPr>
          <w:rFonts w:asciiTheme="minorEastAsia" w:hAnsiTheme="minorEastAsia"/>
          <w:sz w:val="24"/>
        </w:rPr>
      </w:pPr>
    </w:p>
    <w:p>
      <w:pPr>
        <w:kinsoku/>
        <w:wordWrap/>
        <w:overflowPunct/>
        <w:bidi w:val="0"/>
        <w:spacing w:line="560" w:lineRule="atLeast"/>
        <w:textAlignment w:val="auto"/>
        <w:rPr>
          <w:rFonts w:hint="eastAsia" w:asciiTheme="minorEastAsia" w:hAnsiTheme="minorEastAsia"/>
          <w:sz w:val="24"/>
        </w:rPr>
      </w:pP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 xml:space="preserve">甲    方（公章）： </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 xml:space="preserve">法定代表人或授权代表（签字或盖章）：                         </w:t>
      </w: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签署日期：</w:t>
      </w:r>
    </w:p>
    <w:p>
      <w:pPr>
        <w:kinsoku/>
        <w:wordWrap/>
        <w:overflowPunct/>
        <w:bidi w:val="0"/>
        <w:spacing w:line="560" w:lineRule="atLeast"/>
        <w:textAlignment w:val="auto"/>
        <w:rPr>
          <w:rFonts w:asciiTheme="minorEastAsia" w:hAnsiTheme="minorEastAsia"/>
          <w:sz w:val="24"/>
        </w:rPr>
      </w:pPr>
    </w:p>
    <w:p>
      <w:pPr>
        <w:kinsoku/>
        <w:wordWrap/>
        <w:overflowPunct/>
        <w:bidi w:val="0"/>
        <w:spacing w:line="560" w:lineRule="atLeast"/>
        <w:textAlignment w:val="auto"/>
        <w:rPr>
          <w:rFonts w:asciiTheme="minorEastAsia" w:hAnsiTheme="minorEastAsia"/>
          <w:sz w:val="24"/>
        </w:rPr>
      </w:pPr>
    </w:p>
    <w:p>
      <w:pPr>
        <w:kinsoku/>
        <w:wordWrap/>
        <w:overflowPunct/>
        <w:bidi w:val="0"/>
        <w:spacing w:line="560" w:lineRule="atLeast"/>
        <w:textAlignment w:val="auto"/>
        <w:rPr>
          <w:rFonts w:asciiTheme="minorEastAsia" w:hAnsiTheme="minorEastAsia"/>
          <w:sz w:val="24"/>
        </w:rPr>
      </w:pPr>
      <w:r>
        <w:rPr>
          <w:rFonts w:hint="eastAsia" w:asciiTheme="minorEastAsia" w:hAnsiTheme="minorEastAsia"/>
          <w:sz w:val="24"/>
        </w:rPr>
        <w:t>乙    方（公章）：</w:t>
      </w:r>
    </w:p>
    <w:p>
      <w:pPr>
        <w:kinsoku/>
        <w:wordWrap/>
        <w:overflowPunct/>
        <w:bidi w:val="0"/>
        <w:spacing w:line="560" w:lineRule="atLeast"/>
        <w:textAlignment w:val="auto"/>
      </w:pPr>
      <w:r>
        <w:rPr>
          <w:rFonts w:hint="eastAsia" w:asciiTheme="minorEastAsia" w:hAnsiTheme="minorEastAsia"/>
          <w:sz w:val="24"/>
        </w:rPr>
        <w:t>法定代表人或授权代表（签字或盖章）:</w:t>
      </w:r>
    </w:p>
    <w:p>
      <w:pPr>
        <w:kinsoku/>
        <w:wordWrap/>
        <w:overflowPunct/>
        <w:bidi w:val="0"/>
        <w:spacing w:line="560" w:lineRule="atLeast"/>
        <w:textAlignment w:val="auto"/>
      </w:pPr>
      <w:r>
        <w:rPr>
          <w:rFonts w:hint="eastAsia" w:ascii="Calibri" w:hAnsi="Calibri"/>
          <w:sz w:val="24"/>
        </w:rPr>
        <w:t>签署日期：</w:t>
      </w:r>
    </w:p>
    <w:p>
      <w:pPr>
        <w:widowControl/>
        <w:kinsoku/>
        <w:wordWrap/>
        <w:overflowPunct/>
        <w:bidi w:val="0"/>
        <w:spacing w:line="560" w:lineRule="atLeast"/>
        <w:jc w:val="left"/>
        <w:textAlignment w:val="auto"/>
        <w:rPr>
          <w:rFonts w:ascii="宋体" w:hAnsi="宋体"/>
          <w:sz w:val="36"/>
          <w:szCs w:val="36"/>
          <w:shd w:val="clear" w:color="auto" w:fill="FFFFFF"/>
        </w:rPr>
      </w:pPr>
      <w:r>
        <w:rPr>
          <w:rFonts w:ascii="宋体" w:hAnsi="宋体"/>
          <w:sz w:val="36"/>
          <w:szCs w:val="36"/>
          <w:shd w:val="clear" w:color="auto" w:fill="FFFFFF"/>
        </w:rPr>
        <w:br w:type="page"/>
      </w:r>
    </w:p>
    <w:p>
      <w:pPr>
        <w:kinsoku/>
        <w:wordWrap/>
        <w:overflowPunct/>
        <w:bidi w:val="0"/>
        <w:spacing w:line="560" w:lineRule="atLeast"/>
        <w:textAlignment w:val="auto"/>
        <w:rPr>
          <w:rFonts w:ascii="宋体" w:hAnsi="宋体" w:cs="黑体"/>
          <w:bCs/>
          <w:sz w:val="20"/>
          <w:szCs w:val="20"/>
        </w:rPr>
      </w:pPr>
      <w:r>
        <w:rPr>
          <w:rFonts w:hint="eastAsia" w:ascii="宋体" w:hAnsi="宋体"/>
          <w:sz w:val="32"/>
          <w:szCs w:val="32"/>
          <w:shd w:val="clear" w:color="auto" w:fill="FFFFFF"/>
        </w:rPr>
        <w:t>附件一</w:t>
      </w:r>
      <w:r>
        <w:rPr>
          <w:rFonts w:hint="eastAsia" w:ascii="宋体" w:hAnsi="宋体"/>
          <w:sz w:val="32"/>
          <w:szCs w:val="32"/>
        </w:rPr>
        <w:t>：生产运营数据、实时视频监控对接清单</w:t>
      </w:r>
    </w:p>
    <w:p>
      <w:pPr>
        <w:numPr>
          <w:ilvl w:val="0"/>
          <w:numId w:val="12"/>
        </w:numPr>
        <w:tabs>
          <w:tab w:val="left" w:pos="0"/>
        </w:tabs>
        <w:kinsoku/>
        <w:wordWrap/>
        <w:overflowPunct/>
        <w:topLinePunct/>
        <w:bidi w:val="0"/>
        <w:adjustRightInd w:val="0"/>
        <w:snapToGrid w:val="0"/>
        <w:spacing w:line="560" w:lineRule="atLeast"/>
        <w:ind w:left="0" w:firstLine="0"/>
        <w:jc w:val="left"/>
        <w:textAlignment w:val="auto"/>
        <w:outlineLvl w:val="1"/>
        <w:rPr>
          <w:rFonts w:ascii="宋体" w:hAnsi="宋体" w:cs="等线"/>
          <w:sz w:val="28"/>
          <w:szCs w:val="28"/>
        </w:rPr>
      </w:pPr>
      <w:bookmarkStart w:id="38" w:name="_Toc66646639"/>
      <w:r>
        <w:rPr>
          <w:rFonts w:hint="eastAsia" w:ascii="宋体" w:hAnsi="宋体" w:cs="宋体"/>
          <w:b/>
          <w:sz w:val="28"/>
          <w:szCs w:val="28"/>
        </w:rPr>
        <w:t>各厂站生产运行数据展示平台</w:t>
      </w:r>
      <w:bookmarkEnd w:id="38"/>
    </w:p>
    <w:p>
      <w:pPr>
        <w:widowControl/>
        <w:kinsoku/>
        <w:wordWrap/>
        <w:overflowPunct/>
        <w:bidi w:val="0"/>
        <w:adjustRightInd w:val="0"/>
        <w:snapToGrid w:val="0"/>
        <w:spacing w:before="120" w:beforeLines="50" w:line="560" w:lineRule="atLeast"/>
        <w:ind w:firstLine="420"/>
        <w:jc w:val="left"/>
        <w:textAlignment w:val="auto"/>
        <w:rPr>
          <w:rFonts w:ascii="宋体" w:hAnsi="宋体" w:cs="等线"/>
          <w:sz w:val="28"/>
          <w:szCs w:val="28"/>
        </w:rPr>
      </w:pPr>
      <w:r>
        <w:rPr>
          <w:rFonts w:hint="eastAsia" w:ascii="宋体" w:hAnsi="宋体" w:cs="等线"/>
          <w:sz w:val="28"/>
          <w:szCs w:val="28"/>
          <w:lang w:eastAsia="zh-CN"/>
        </w:rPr>
        <w:t>净水</w:t>
      </w:r>
      <w:r>
        <w:rPr>
          <w:rFonts w:hint="eastAsia" w:ascii="宋体" w:hAnsi="宋体" w:cs="等线"/>
          <w:sz w:val="28"/>
          <w:szCs w:val="28"/>
        </w:rPr>
        <w:t>厂生产数据对接建议（根据各厂站中控平台数据确定对接内容）</w:t>
      </w:r>
    </w:p>
    <w:tbl>
      <w:tblPr>
        <w:tblStyle w:val="45"/>
        <w:tblW w:w="9388" w:type="dxa"/>
        <w:jc w:val="center"/>
        <w:tblLayout w:type="fixed"/>
        <w:tblCellMar>
          <w:top w:w="0" w:type="dxa"/>
          <w:left w:w="108" w:type="dxa"/>
          <w:bottom w:w="0" w:type="dxa"/>
          <w:right w:w="108" w:type="dxa"/>
        </w:tblCellMar>
      </w:tblPr>
      <w:tblGrid>
        <w:gridCol w:w="911"/>
        <w:gridCol w:w="1752"/>
        <w:gridCol w:w="3235"/>
        <w:gridCol w:w="1549"/>
        <w:gridCol w:w="1941"/>
      </w:tblGrid>
      <w:tr>
        <w:tblPrEx>
          <w:tblCellMar>
            <w:top w:w="0" w:type="dxa"/>
            <w:left w:w="108" w:type="dxa"/>
            <w:bottom w:w="0" w:type="dxa"/>
            <w:right w:w="108" w:type="dxa"/>
          </w:tblCellMar>
        </w:tblPrEx>
        <w:trPr>
          <w:trHeight w:val="412" w:hRule="atLeast"/>
          <w:jc w:val="center"/>
        </w:trPr>
        <w:tc>
          <w:tcPr>
            <w:tcW w:w="911"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wordWrap/>
              <w:overflowPunct/>
              <w:bidi w:val="0"/>
              <w:spacing w:line="560" w:lineRule="atLeast"/>
              <w:textAlignment w:val="auto"/>
              <w:rPr>
                <w:rFonts w:ascii="宋体" w:hAnsi="宋体" w:cs="宋体"/>
                <w:b/>
                <w:bCs/>
                <w:sz w:val="22"/>
                <w:szCs w:val="22"/>
              </w:rPr>
            </w:pPr>
            <w:r>
              <w:rPr>
                <w:rFonts w:hint="eastAsia" w:ascii="宋体" w:hAnsi="宋体" w:cs="宋体"/>
                <w:b/>
                <w:bCs/>
                <w:sz w:val="22"/>
                <w:szCs w:val="22"/>
              </w:rPr>
              <w:t>序号</w:t>
            </w:r>
          </w:p>
        </w:tc>
        <w:tc>
          <w:tcPr>
            <w:tcW w:w="1752"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wordWrap/>
              <w:overflowPunct/>
              <w:bidi w:val="0"/>
              <w:spacing w:line="560" w:lineRule="atLeast"/>
              <w:textAlignment w:val="auto"/>
              <w:rPr>
                <w:rFonts w:ascii="宋体" w:hAnsi="宋体" w:cs="宋体"/>
                <w:b/>
                <w:bCs/>
                <w:sz w:val="22"/>
                <w:szCs w:val="22"/>
              </w:rPr>
            </w:pPr>
            <w:r>
              <w:rPr>
                <w:rFonts w:hint="eastAsia" w:ascii="宋体" w:hAnsi="宋体" w:cs="宋体"/>
                <w:b/>
                <w:bCs/>
                <w:sz w:val="22"/>
                <w:szCs w:val="22"/>
              </w:rPr>
              <w:t>数据类型</w:t>
            </w:r>
          </w:p>
        </w:tc>
        <w:tc>
          <w:tcPr>
            <w:tcW w:w="32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insoku/>
              <w:wordWrap/>
              <w:overflowPunct/>
              <w:bidi w:val="0"/>
              <w:spacing w:line="560" w:lineRule="atLeast"/>
              <w:textAlignment w:val="auto"/>
              <w:rPr>
                <w:rFonts w:ascii="宋体" w:hAnsi="宋体" w:cs="宋体"/>
                <w:b/>
                <w:bCs/>
                <w:sz w:val="22"/>
                <w:szCs w:val="22"/>
              </w:rPr>
            </w:pPr>
            <w:r>
              <w:rPr>
                <w:rFonts w:hint="eastAsia" w:ascii="宋体" w:hAnsi="宋体" w:cs="宋体"/>
                <w:b/>
                <w:bCs/>
                <w:sz w:val="22"/>
                <w:szCs w:val="22"/>
              </w:rPr>
              <w:t>数据明细</w:t>
            </w:r>
          </w:p>
        </w:tc>
        <w:tc>
          <w:tcPr>
            <w:tcW w:w="1549" w:type="dxa"/>
            <w:tcBorders>
              <w:top w:val="single" w:color="auto" w:sz="4" w:space="0"/>
              <w:left w:val="nil"/>
              <w:bottom w:val="single" w:color="auto" w:sz="4" w:space="0"/>
              <w:right w:val="single" w:color="auto" w:sz="4" w:space="0"/>
            </w:tcBorders>
            <w:shd w:val="clear" w:color="000000" w:fill="FFFFFF"/>
            <w:noWrap/>
            <w:vAlign w:val="center"/>
          </w:tcPr>
          <w:p>
            <w:pPr>
              <w:kinsoku/>
              <w:wordWrap/>
              <w:overflowPunct/>
              <w:bidi w:val="0"/>
              <w:spacing w:line="560" w:lineRule="atLeast"/>
              <w:jc w:val="center"/>
              <w:textAlignment w:val="auto"/>
              <w:rPr>
                <w:rFonts w:ascii="宋体" w:hAnsi="宋体" w:cs="宋体"/>
                <w:b/>
                <w:bCs/>
                <w:sz w:val="22"/>
                <w:szCs w:val="22"/>
              </w:rPr>
            </w:pPr>
            <w:r>
              <w:rPr>
                <w:rFonts w:hint="eastAsia" w:ascii="宋体" w:hAnsi="宋体" w:cs="宋体"/>
                <w:b/>
                <w:bCs/>
                <w:sz w:val="22"/>
                <w:szCs w:val="22"/>
              </w:rPr>
              <w:t>单位</w:t>
            </w:r>
          </w:p>
        </w:tc>
        <w:tc>
          <w:tcPr>
            <w:tcW w:w="1941" w:type="dxa"/>
            <w:tcBorders>
              <w:top w:val="single" w:color="auto" w:sz="4" w:space="0"/>
              <w:left w:val="nil"/>
              <w:bottom w:val="single" w:color="auto" w:sz="4" w:space="0"/>
              <w:right w:val="single" w:color="auto" w:sz="4" w:space="0"/>
            </w:tcBorders>
            <w:shd w:val="clear" w:color="000000" w:fill="FFFFFF"/>
            <w:noWrap/>
            <w:vAlign w:val="center"/>
          </w:tcPr>
          <w:p>
            <w:pPr>
              <w:kinsoku/>
              <w:wordWrap/>
              <w:overflowPunct/>
              <w:bidi w:val="0"/>
              <w:spacing w:line="560" w:lineRule="atLeast"/>
              <w:jc w:val="center"/>
              <w:textAlignment w:val="auto"/>
              <w:rPr>
                <w:rFonts w:ascii="宋体" w:hAnsi="宋体" w:cs="宋体"/>
                <w:b/>
                <w:bCs/>
                <w:sz w:val="22"/>
                <w:szCs w:val="22"/>
              </w:rPr>
            </w:pPr>
            <w:r>
              <w:rPr>
                <w:rFonts w:hint="eastAsia" w:ascii="宋体" w:hAnsi="宋体" w:cs="宋体"/>
                <w:b/>
                <w:bCs/>
                <w:sz w:val="22"/>
                <w:szCs w:val="22"/>
              </w:rPr>
              <w:t>取值间隔</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化验室数据</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进水水温</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o</w:t>
            </w:r>
            <w:r>
              <w:rPr>
                <w:rFonts w:hint="eastAsia" w:ascii="宋体" w:hAnsi="宋体" w:cs="宋体"/>
                <w:sz w:val="22"/>
                <w:szCs w:val="22"/>
              </w:rPr>
              <w:t>C</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进水p</w:t>
            </w:r>
            <w:r>
              <w:rPr>
                <w:rFonts w:ascii="宋体" w:hAnsi="宋体" w:cs="宋体"/>
                <w:sz w:val="22"/>
                <w:szCs w:val="22"/>
              </w:rPr>
              <w:t>H</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进水CODcr</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进水SS</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进水TN</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进水TP</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进水NH3-N</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进水BOD5</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进水B/C</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出水pH</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出水CODcr</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出水S</w:t>
            </w:r>
            <w:r>
              <w:rPr>
                <w:rFonts w:ascii="宋体" w:hAnsi="宋体" w:cs="宋体"/>
                <w:sz w:val="22"/>
                <w:szCs w:val="22"/>
              </w:rPr>
              <w:t>S</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出水TN</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出水TP</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出水NH3-N</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出水BOD5</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粪大肠菌</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Cell/L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ascii="宋体" w:hAnsi="宋体" w:cs="宋体"/>
                <w:sz w:val="22"/>
                <w:szCs w:val="22"/>
              </w:rPr>
              <w:t>MLSS</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M</w:t>
            </w:r>
            <w:r>
              <w:rPr>
                <w:rFonts w:ascii="宋体" w:hAnsi="宋体" w:cs="宋体"/>
                <w:sz w:val="22"/>
                <w:szCs w:val="22"/>
              </w:rPr>
              <w:t>LVSS</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外运污泥含水率</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2</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进水水质</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在线水温</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在线pH</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在线CODcr</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2小时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在线SS</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2小时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在线TN</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2小时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在线TP</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2小时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在线NH3-N</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2小时</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3</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出水水质</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在线CODcr</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2小时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在线SS</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2小时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在线TN</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2小时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在线TP</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2小时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在线NH3-N</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2小时</w:t>
            </w:r>
          </w:p>
        </w:tc>
      </w:tr>
      <w:tr>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4</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粗格栅</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前液位</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后液位</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前后液位差（计算值）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5</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细格栅</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前液位</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后液位</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前后液位差（计算值）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6</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进水提升泵站</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出水压力</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KPa</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瞬时流量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w:t>
            </w:r>
            <w:r>
              <w:rPr>
                <w:rFonts w:ascii="宋体" w:hAnsi="宋体" w:cs="宋体"/>
                <w:sz w:val="22"/>
                <w:szCs w:val="22"/>
              </w:rPr>
              <w:t>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累积流量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液位</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7</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生化池主要工艺参数</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DO</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ORP</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mV</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MLSS</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SVI</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ml/g</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SV30</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缺氧池出口NO3-N</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1天</w:t>
            </w:r>
          </w:p>
        </w:tc>
      </w:tr>
      <w:tr>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内回流流量瞬时值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内回流流量累积值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内回流比（计算值）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8</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各二沉池</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泥位</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水力负荷（计算值）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固体负荷（计算值）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K</w:t>
            </w:r>
            <w:r>
              <w:rPr>
                <w:rFonts w:hint="eastAsia" w:ascii="宋体" w:hAnsi="宋体" w:cs="宋体"/>
                <w:sz w:val="22"/>
                <w:szCs w:val="22"/>
              </w:rPr>
              <w:t>g</w:t>
            </w:r>
            <w:r>
              <w:rPr>
                <w:rFonts w:ascii="宋体" w:hAnsi="宋体" w:cs="宋体"/>
                <w:sz w:val="22"/>
                <w:szCs w:val="22"/>
              </w:rPr>
              <w:t xml:space="preserve"> </w:t>
            </w:r>
            <w:r>
              <w:rPr>
                <w:rFonts w:hint="eastAsia" w:ascii="宋体" w:hAnsi="宋体" w:cs="宋体"/>
                <w:sz w:val="22"/>
                <w:szCs w:val="22"/>
              </w:rPr>
              <w:t>SS/m2.</w:t>
            </w:r>
            <w:r>
              <w:rPr>
                <w:rFonts w:ascii="宋体" w:hAnsi="宋体" w:cs="宋体"/>
                <w:sz w:val="22"/>
                <w:szCs w:val="22"/>
              </w:rPr>
              <w:t>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污泥回流量瞬时值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污泥回流量累积值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外回流比（计算值）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剩余污泥排泥流量瞬时值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剩余污泥排泥流量累积值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剩余污泥排</w:t>
            </w:r>
            <w:r>
              <w:rPr>
                <w:rFonts w:ascii="宋体" w:hAnsi="宋体" w:cs="宋体"/>
                <w:sz w:val="22"/>
                <w:szCs w:val="22"/>
              </w:rPr>
              <w:t>SS</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9</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混凝絮凝沉淀池</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进水TP</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2小时</w:t>
            </w:r>
            <w:r>
              <w:rPr>
                <w:rFonts w:ascii="宋体" w:hAnsi="宋体" w:cs="宋体"/>
                <w:sz w:val="22"/>
                <w:szCs w:val="22"/>
              </w:rPr>
              <w:t xml:space="preserve"> </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出水TP</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2小时</w:t>
            </w:r>
            <w:r>
              <w:rPr>
                <w:rFonts w:ascii="宋体" w:hAnsi="宋体" w:cs="宋体"/>
                <w:sz w:val="22"/>
                <w:szCs w:val="22"/>
              </w:rPr>
              <w:t xml:space="preserve"> </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进水S</w:t>
            </w:r>
            <w:r>
              <w:rPr>
                <w:rFonts w:ascii="宋体" w:hAnsi="宋体" w:cs="宋体"/>
                <w:sz w:val="22"/>
                <w:szCs w:val="22"/>
              </w:rPr>
              <w:t>S</w:t>
            </w:r>
            <w:r>
              <w:rPr>
                <w:rFonts w:hint="eastAsia" w:ascii="宋体" w:hAnsi="宋体" w:cs="宋体"/>
                <w:sz w:val="22"/>
                <w:szCs w:val="22"/>
              </w:rPr>
              <w:t>或浊度</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出水S</w:t>
            </w:r>
            <w:r>
              <w:rPr>
                <w:rFonts w:ascii="宋体" w:hAnsi="宋体" w:cs="宋体"/>
                <w:sz w:val="22"/>
                <w:szCs w:val="22"/>
              </w:rPr>
              <w:t>S</w:t>
            </w:r>
            <w:r>
              <w:rPr>
                <w:rFonts w:hint="eastAsia" w:ascii="宋体" w:hAnsi="宋体" w:cs="宋体"/>
                <w:sz w:val="22"/>
                <w:szCs w:val="22"/>
              </w:rPr>
              <w:t>或浊度</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p>
        </w:tc>
      </w:tr>
      <w:tr>
        <w:tblPrEx>
          <w:tblCellMar>
            <w:top w:w="0" w:type="dxa"/>
            <w:left w:w="108" w:type="dxa"/>
            <w:bottom w:w="0" w:type="dxa"/>
            <w:right w:w="108" w:type="dxa"/>
          </w:tblCellMar>
        </w:tblPrEx>
        <w:trPr>
          <w:trHeight w:val="292"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8</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各滤池</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进水液位</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阻塞值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cm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出水SS或浊度</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mg/l/NTU</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r>
              <w:rPr>
                <w:rFonts w:ascii="宋体" w:hAnsi="宋体" w:cs="宋体"/>
                <w:sz w:val="22"/>
                <w:szCs w:val="22"/>
              </w:rPr>
              <w:t xml:space="preserve"> </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反洗水量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M3/d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9</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各鼓风机</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出口风压</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kpa</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出口风量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出口温度</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鼓风机频率</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hz</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10</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污泥浓缩脱水</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浓缩池进泥流量瞬时值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浓缩池进泥流量累积值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浓缩池进泥浓度S</w:t>
            </w:r>
            <w:r>
              <w:rPr>
                <w:rFonts w:ascii="宋体" w:hAnsi="宋体" w:cs="宋体"/>
                <w:sz w:val="22"/>
                <w:szCs w:val="22"/>
              </w:rPr>
              <w:t>S</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浓缩池液位</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浓缩污泥储泥池污泥浓度</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脱水机进泥流量瞬时值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脱水机进泥流量累积值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外运污泥量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ton</w:t>
            </w:r>
            <w:r>
              <w:rPr>
                <w:rFonts w:hint="eastAsia" w:ascii="宋体" w:hAnsi="宋体" w:cs="宋体"/>
                <w:sz w:val="22"/>
                <w:szCs w:val="22"/>
              </w:rPr>
              <w:t>/d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11</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臭气处理</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风机风量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风机风压</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kpa</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出口H2S</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出口NH3</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12</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反硝化碳源投加量</w:t>
            </w:r>
          </w:p>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（乙酸钠等）</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乙酸钠投加流量瞬时值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乙酸钠投加流量累积值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乙酸钠制备浓度</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1小时（在线或人工）</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溶液池液位</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乙酸钠投加单耗（计算值）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乙酸钠投加量（计算值）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Kg/d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13</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混凝剂投加量</w:t>
            </w:r>
          </w:p>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(PAC、聚合硫酸铁、三氯化铁等)</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投加流量瞬时值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投加流量累积值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制备浓度</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1小时（在线或人工）</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溶液池液位</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单耗（计算值）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投加量（计算值）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Kg/d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14</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絮凝剂投加量</w:t>
            </w:r>
          </w:p>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（阴离子P</w:t>
            </w:r>
            <w:r>
              <w:rPr>
                <w:rFonts w:ascii="宋体" w:hAnsi="宋体" w:cs="宋体"/>
                <w:sz w:val="22"/>
                <w:szCs w:val="22"/>
              </w:rPr>
              <w:t>AM）</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投加流量瞬时值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投加流量累积值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制备浓度</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1小时（在线或人工）</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溶液池液位</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絮凝剂投加量单耗（计算值）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絮凝剂投加量（计算值）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Kg/d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w:t>
            </w:r>
            <w:r>
              <w:rPr>
                <w:rFonts w:ascii="宋体" w:hAnsi="宋体" w:cs="宋体"/>
                <w:sz w:val="22"/>
                <w:szCs w:val="22"/>
              </w:rPr>
              <w:t>5</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消毒剂投加量</w:t>
            </w:r>
          </w:p>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（次氯酸钠，二氧化氯等）</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投加流量瞬时值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投加流量累积值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制备浓度</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1小时（在线或人工）</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溶液池液位</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消毒剂投加量单耗（计算值）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消毒剂投加量（计算值）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Kg/d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16</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脱水剂投加量</w:t>
            </w:r>
          </w:p>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(阳离子P</w:t>
            </w:r>
            <w:r>
              <w:rPr>
                <w:rFonts w:ascii="宋体" w:hAnsi="宋体" w:cs="宋体"/>
                <w:sz w:val="22"/>
                <w:szCs w:val="22"/>
              </w:rPr>
              <w:t>AM</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投加流量瞬时值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投加流量累积值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m3/h</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制备浓度</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1小时（在线或人工）</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溶液池液位</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投加量单耗（计算值）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mg/L</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1小时或天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投加量（计算值）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Kg/d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单耗（计算值）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ascii="宋体" w:hAnsi="宋体" w:cs="宋体"/>
                <w:sz w:val="22"/>
                <w:szCs w:val="22"/>
              </w:rPr>
              <w:t>Kg PAM/</w:t>
            </w:r>
            <w:r>
              <w:rPr>
                <w:rFonts w:hint="eastAsia" w:ascii="宋体" w:hAnsi="宋体" w:cs="宋体"/>
                <w:sz w:val="22"/>
                <w:szCs w:val="22"/>
              </w:rPr>
              <w:t>DS</w:t>
            </w:r>
            <w:r>
              <w:rPr>
                <w:rFonts w:ascii="宋体" w:hAnsi="宋体" w:cs="宋体"/>
                <w:sz w:val="22"/>
                <w:szCs w:val="22"/>
              </w:rPr>
              <w:t xml:space="preserve"> ton</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天</w:t>
            </w:r>
          </w:p>
        </w:tc>
      </w:tr>
      <w:tr>
        <w:tblPrEx>
          <w:tblCellMar>
            <w:top w:w="0" w:type="dxa"/>
            <w:left w:w="108" w:type="dxa"/>
            <w:bottom w:w="0" w:type="dxa"/>
            <w:right w:w="108" w:type="dxa"/>
          </w:tblCellMar>
        </w:tblPrEx>
        <w:trPr>
          <w:trHeight w:val="254" w:hRule="atLeast"/>
          <w:jc w:val="center"/>
        </w:trPr>
        <w:tc>
          <w:tcPr>
            <w:tcW w:w="911"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17</w:t>
            </w:r>
          </w:p>
        </w:tc>
        <w:tc>
          <w:tcPr>
            <w:tcW w:w="1752" w:type="dxa"/>
            <w:vMerge w:val="restart"/>
            <w:tcBorders>
              <w:top w:val="single" w:color="auto" w:sz="4" w:space="0"/>
              <w:left w:val="single" w:color="auto" w:sz="4" w:space="0"/>
              <w:right w:val="single" w:color="auto" w:sz="4" w:space="0"/>
            </w:tcBorders>
            <w:vAlign w:val="center"/>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电量分布</w:t>
            </w: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全厂电量分布</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进水提升泵间电量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小时或天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鼓风机间电量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小时或天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主要搅拌器电量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小时或天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中间提升泵间电量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小时或天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内回流泵电量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小时或天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外回流泵电量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小时或天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反洗泵房电量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小时或天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紫外消毒电量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小时或天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出水泵房电量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小时或天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污泥脱水间电量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小时或天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臭气处理电量</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kWh/d</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小时或天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实际吨水电耗（计算值）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kWh/m3</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实际公斤BOD电耗（计算值）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kWh/kg BOD5</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1天</w:t>
            </w:r>
          </w:p>
        </w:tc>
      </w:tr>
      <w:tr>
        <w:tblPrEx>
          <w:tblCellMar>
            <w:top w:w="0" w:type="dxa"/>
            <w:left w:w="108" w:type="dxa"/>
            <w:bottom w:w="0" w:type="dxa"/>
            <w:right w:w="108" w:type="dxa"/>
          </w:tblCellMar>
        </w:tblPrEx>
        <w:trPr>
          <w:trHeight w:val="254" w:hRule="atLeast"/>
          <w:jc w:val="center"/>
        </w:trPr>
        <w:tc>
          <w:tcPr>
            <w:tcW w:w="911" w:type="dxa"/>
            <w:vMerge w:val="continue"/>
            <w:tcBorders>
              <w:left w:val="single" w:color="auto" w:sz="4" w:space="0"/>
              <w:bottom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1752" w:type="dxa"/>
            <w:vMerge w:val="continue"/>
            <w:tcBorders>
              <w:left w:val="single" w:color="auto" w:sz="4" w:space="0"/>
              <w:bottom w:val="single" w:color="auto" w:sz="4" w:space="0"/>
              <w:right w:val="single" w:color="auto" w:sz="4" w:space="0"/>
            </w:tcBorders>
          </w:tcPr>
          <w:p>
            <w:pPr>
              <w:kinsoku/>
              <w:wordWrap/>
              <w:overflowPunct/>
              <w:bidi w:val="0"/>
              <w:spacing w:line="560" w:lineRule="atLeast"/>
              <w:textAlignment w:val="auto"/>
              <w:rPr>
                <w:rFonts w:ascii="宋体" w:hAnsi="宋体" w:cs="宋体"/>
                <w:sz w:val="22"/>
                <w:szCs w:val="22"/>
              </w:rPr>
            </w:pPr>
          </w:p>
        </w:tc>
        <w:tc>
          <w:tcPr>
            <w:tcW w:w="3235" w:type="dxa"/>
            <w:tcBorders>
              <w:top w:val="nil"/>
              <w:left w:val="single" w:color="auto" w:sz="4" w:space="0"/>
              <w:bottom w:val="single" w:color="auto" w:sz="4" w:space="0"/>
              <w:right w:val="single" w:color="auto" w:sz="4" w:space="0"/>
            </w:tcBorders>
            <w:noWrap/>
            <w:vAlign w:val="bottom"/>
          </w:tcPr>
          <w:p>
            <w:pPr>
              <w:kinsoku/>
              <w:wordWrap/>
              <w:overflowPunct/>
              <w:bidi w:val="0"/>
              <w:spacing w:line="560" w:lineRule="atLeast"/>
              <w:textAlignment w:val="auto"/>
              <w:rPr>
                <w:rFonts w:ascii="宋体" w:hAnsi="宋体" w:cs="宋体"/>
                <w:sz w:val="22"/>
                <w:szCs w:val="22"/>
              </w:rPr>
            </w:pPr>
            <w:r>
              <w:rPr>
                <w:rFonts w:hint="eastAsia" w:ascii="宋体" w:hAnsi="宋体" w:cs="宋体"/>
                <w:sz w:val="22"/>
                <w:szCs w:val="22"/>
              </w:rPr>
              <w:t>实际公斤COD电耗（计算值）</w:t>
            </w:r>
          </w:p>
        </w:tc>
        <w:tc>
          <w:tcPr>
            <w:tcW w:w="1549"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kWh/kg CODcr</w:t>
            </w:r>
          </w:p>
        </w:tc>
        <w:tc>
          <w:tcPr>
            <w:tcW w:w="1941" w:type="dxa"/>
            <w:tcBorders>
              <w:top w:val="nil"/>
              <w:left w:val="nil"/>
              <w:bottom w:val="single" w:color="auto" w:sz="4" w:space="0"/>
              <w:right w:val="single" w:color="auto" w:sz="4" w:space="0"/>
            </w:tcBorders>
            <w:noWrap/>
            <w:vAlign w:val="bottom"/>
          </w:tcPr>
          <w:p>
            <w:pPr>
              <w:kinsoku/>
              <w:wordWrap/>
              <w:overflowPunct/>
              <w:bidi w:val="0"/>
              <w:spacing w:line="560" w:lineRule="atLeast"/>
              <w:jc w:val="center"/>
              <w:textAlignment w:val="auto"/>
              <w:rPr>
                <w:rFonts w:ascii="宋体" w:hAnsi="宋体" w:cs="宋体"/>
                <w:sz w:val="22"/>
                <w:szCs w:val="22"/>
              </w:rPr>
            </w:pPr>
            <w:r>
              <w:rPr>
                <w:rFonts w:hint="eastAsia" w:ascii="宋体" w:hAnsi="宋体" w:cs="宋体"/>
                <w:sz w:val="22"/>
                <w:szCs w:val="22"/>
              </w:rPr>
              <w:t>1天</w:t>
            </w:r>
          </w:p>
        </w:tc>
      </w:tr>
    </w:tbl>
    <w:p>
      <w:pPr>
        <w:kinsoku/>
        <w:wordWrap/>
        <w:overflowPunct/>
        <w:bidi w:val="0"/>
        <w:spacing w:line="560" w:lineRule="atLeast"/>
        <w:textAlignment w:val="auto"/>
        <w:rPr>
          <w:rFonts w:ascii="宋体" w:hAnsi="宋体" w:cs="等线"/>
          <w:sz w:val="28"/>
          <w:szCs w:val="28"/>
        </w:rPr>
      </w:pPr>
    </w:p>
    <w:p>
      <w:pPr>
        <w:widowControl/>
        <w:kinsoku/>
        <w:wordWrap/>
        <w:overflowPunct/>
        <w:bidi w:val="0"/>
        <w:adjustRightInd w:val="0"/>
        <w:snapToGrid w:val="0"/>
        <w:spacing w:before="120" w:beforeLines="50" w:line="560" w:lineRule="atLeast"/>
        <w:ind w:firstLine="420"/>
        <w:jc w:val="left"/>
        <w:textAlignment w:val="auto"/>
        <w:rPr>
          <w:rFonts w:ascii="宋体" w:hAnsi="宋体" w:cs="等线"/>
          <w:sz w:val="28"/>
          <w:szCs w:val="28"/>
        </w:rPr>
      </w:pPr>
      <w:r>
        <w:rPr>
          <w:rFonts w:hint="eastAsia" w:ascii="宋体" w:hAnsi="宋体" w:cs="等线"/>
          <w:sz w:val="28"/>
          <w:szCs w:val="28"/>
          <w:lang w:eastAsia="zh-CN"/>
        </w:rPr>
        <w:t>净</w:t>
      </w:r>
      <w:r>
        <w:rPr>
          <w:rFonts w:hint="eastAsia" w:ascii="宋体" w:hAnsi="宋体" w:cs="等线"/>
          <w:sz w:val="28"/>
          <w:szCs w:val="28"/>
        </w:rPr>
        <w:t>水厂生产数据对接原则上数据按照以上表格清单统一标准采集，各项目公司的数据提取各厂站不同情况另行协商，实际采集数据根据各厂站PLC/SCADA和网关的实际情况进行调整。</w:t>
      </w:r>
    </w:p>
    <w:p>
      <w:pPr>
        <w:widowControl/>
        <w:kinsoku/>
        <w:wordWrap/>
        <w:overflowPunct/>
        <w:bidi w:val="0"/>
        <w:adjustRightInd w:val="0"/>
        <w:snapToGrid w:val="0"/>
        <w:spacing w:before="120" w:beforeLines="50" w:line="560" w:lineRule="atLeast"/>
        <w:jc w:val="left"/>
        <w:textAlignment w:val="auto"/>
        <w:rPr>
          <w:rFonts w:hint="eastAsia" w:ascii="宋体" w:hAnsi="宋体" w:cs="等线"/>
          <w:sz w:val="28"/>
          <w:szCs w:val="28"/>
        </w:rPr>
      </w:pPr>
    </w:p>
    <w:p>
      <w:pPr>
        <w:widowControl/>
        <w:kinsoku/>
        <w:wordWrap/>
        <w:overflowPunct/>
        <w:bidi w:val="0"/>
        <w:adjustRightInd w:val="0"/>
        <w:snapToGrid w:val="0"/>
        <w:spacing w:before="120" w:beforeLines="50" w:line="560" w:lineRule="atLeast"/>
        <w:ind w:firstLine="420"/>
        <w:jc w:val="left"/>
        <w:textAlignment w:val="auto"/>
        <w:rPr>
          <w:rFonts w:ascii="宋体" w:hAnsi="宋体" w:cs="等线"/>
          <w:sz w:val="28"/>
          <w:szCs w:val="28"/>
        </w:rPr>
      </w:pPr>
      <w:r>
        <w:rPr>
          <w:rFonts w:hint="eastAsia" w:ascii="宋体" w:hAnsi="宋体" w:cs="等线"/>
          <w:sz w:val="28"/>
          <w:szCs w:val="28"/>
        </w:rPr>
        <w:t>附件二对接服务清单</w:t>
      </w:r>
    </w:p>
    <w:tbl>
      <w:tblPr>
        <w:tblStyle w:val="45"/>
        <w:tblW w:w="0" w:type="auto"/>
        <w:jc w:val="center"/>
        <w:tblLayout w:type="fixed"/>
        <w:tblCellMar>
          <w:top w:w="15" w:type="dxa"/>
          <w:left w:w="108" w:type="dxa"/>
          <w:bottom w:w="15" w:type="dxa"/>
          <w:right w:w="108" w:type="dxa"/>
        </w:tblCellMar>
      </w:tblPr>
      <w:tblGrid>
        <w:gridCol w:w="718"/>
        <w:gridCol w:w="2256"/>
        <w:gridCol w:w="2374"/>
        <w:gridCol w:w="1363"/>
        <w:gridCol w:w="2154"/>
      </w:tblGrid>
      <w:tr>
        <w:tblPrEx>
          <w:tblCellMar>
            <w:top w:w="15" w:type="dxa"/>
            <w:left w:w="108" w:type="dxa"/>
            <w:bottom w:w="15" w:type="dxa"/>
            <w:right w:w="108" w:type="dxa"/>
          </w:tblCellMar>
        </w:tblPrEx>
        <w:trPr>
          <w:trHeight w:val="71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宋体" w:hAnsi="宋体" w:cs="宋体"/>
                <w:b/>
                <w:kern w:val="0"/>
                <w:szCs w:val="21"/>
              </w:rPr>
            </w:pPr>
            <w:r>
              <w:rPr>
                <w:rFonts w:hint="eastAsia" w:ascii="宋体" w:hAnsi="宋体" w:cs="宋体"/>
                <w:b/>
                <w:kern w:val="0"/>
                <w:szCs w:val="21"/>
              </w:rPr>
              <w:t>序号</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宋体" w:hAnsi="宋体" w:cs="宋体"/>
                <w:b/>
                <w:kern w:val="0"/>
                <w:szCs w:val="21"/>
              </w:rPr>
            </w:pPr>
            <w:r>
              <w:rPr>
                <w:rFonts w:hint="eastAsia" w:ascii="宋体" w:hAnsi="宋体" w:cs="宋体"/>
                <w:b/>
                <w:kern w:val="0"/>
                <w:szCs w:val="21"/>
              </w:rPr>
              <w:t>项目名称</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宋体" w:hAnsi="宋体" w:cs="宋体"/>
                <w:b/>
                <w:kern w:val="0"/>
                <w:szCs w:val="21"/>
              </w:rPr>
            </w:pPr>
            <w:r>
              <w:rPr>
                <w:rFonts w:hint="eastAsia" w:ascii="宋体" w:hAnsi="宋体" w:cs="宋体"/>
                <w:b/>
                <w:kern w:val="0"/>
                <w:szCs w:val="21"/>
              </w:rPr>
              <w:t>单价金额（元）</w:t>
            </w:r>
          </w:p>
        </w:tc>
        <w:tc>
          <w:tcPr>
            <w:tcW w:w="1363"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宋体" w:hAnsi="宋体" w:cs="宋体"/>
                <w:b/>
                <w:kern w:val="0"/>
                <w:szCs w:val="21"/>
              </w:rPr>
            </w:pPr>
            <w:r>
              <w:rPr>
                <w:rFonts w:hint="eastAsia" w:ascii="宋体" w:hAnsi="宋体" w:cs="宋体"/>
                <w:b/>
                <w:kern w:val="0"/>
                <w:szCs w:val="21"/>
              </w:rPr>
              <w:t>税率</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宋体" w:hAnsi="宋体" w:cs="宋体"/>
                <w:b/>
                <w:kern w:val="0"/>
                <w:sz w:val="18"/>
                <w:szCs w:val="18"/>
              </w:rPr>
            </w:pPr>
            <w:r>
              <w:rPr>
                <w:rFonts w:hint="eastAsia" w:ascii="宋体" w:hAnsi="宋体" w:cs="宋体"/>
                <w:b/>
                <w:kern w:val="0"/>
                <w:sz w:val="18"/>
                <w:szCs w:val="18"/>
              </w:rPr>
              <w:t>备注</w:t>
            </w:r>
          </w:p>
        </w:tc>
      </w:tr>
      <w:tr>
        <w:tblPrEx>
          <w:tblCellMar>
            <w:top w:w="15" w:type="dxa"/>
            <w:left w:w="108" w:type="dxa"/>
            <w:bottom w:w="15" w:type="dxa"/>
            <w:right w:w="108" w:type="dxa"/>
          </w:tblCellMar>
        </w:tblPrEx>
        <w:trPr>
          <w:trHeight w:val="688"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宋体" w:hAnsi="宋体" w:cs="宋体"/>
                <w:kern w:val="0"/>
                <w:szCs w:val="21"/>
              </w:rPr>
            </w:pPr>
            <w:r>
              <w:rPr>
                <w:rFonts w:ascii="宋体" w:hAnsi="宋体" w:cs="宋体"/>
                <w:kern w:val="0"/>
                <w:szCs w:val="21"/>
              </w:rPr>
              <w:t>1</w:t>
            </w:r>
          </w:p>
        </w:tc>
        <w:tc>
          <w:tcPr>
            <w:tcW w:w="2256" w:type="dxa"/>
            <w:tcBorders>
              <w:top w:val="single" w:color="auto" w:sz="4" w:space="0"/>
              <w:left w:val="single" w:color="auto" w:sz="4" w:space="0"/>
              <w:bottom w:val="single" w:color="auto" w:sz="4" w:space="0"/>
              <w:right w:val="single" w:color="auto" w:sz="4" w:space="0"/>
            </w:tcBorders>
            <w:vAlign w:val="center"/>
          </w:tcPr>
          <w:p>
            <w:pPr>
              <w:kinsoku/>
              <w:wordWrap/>
              <w:overflowPunct/>
              <w:bidi w:val="0"/>
              <w:spacing w:line="560" w:lineRule="atLeast"/>
              <w:jc w:val="left"/>
              <w:textAlignment w:val="auto"/>
              <w:rPr>
                <w:rFonts w:ascii="宋体" w:hAnsi="宋体"/>
                <w:bCs/>
                <w:szCs w:val="21"/>
              </w:rPr>
            </w:pPr>
            <w:r>
              <w:rPr>
                <w:rFonts w:hint="eastAsia" w:ascii="宋体" w:hAnsi="宋体"/>
                <w:bCs/>
                <w:szCs w:val="21"/>
              </w:rPr>
              <w:t>O</w:t>
            </w:r>
            <w:r>
              <w:rPr>
                <w:rFonts w:ascii="宋体" w:hAnsi="宋体"/>
                <w:bCs/>
                <w:szCs w:val="21"/>
              </w:rPr>
              <w:t>PC</w:t>
            </w:r>
            <w:r>
              <w:rPr>
                <w:rFonts w:hint="eastAsia" w:ascii="宋体" w:hAnsi="宋体"/>
                <w:bCs/>
                <w:szCs w:val="21"/>
              </w:rPr>
              <w:t>数据对接服务</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left"/>
              <w:textAlignment w:val="auto"/>
              <w:rPr>
                <w:rFonts w:ascii="宋体" w:hAnsi="宋体" w:cs="宋体"/>
                <w:kern w:val="0"/>
                <w:szCs w:val="21"/>
              </w:rPr>
            </w:pPr>
          </w:p>
        </w:tc>
        <w:tc>
          <w:tcPr>
            <w:tcW w:w="1363"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宋体" w:hAnsi="宋体" w:cs="宋体"/>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left"/>
              <w:textAlignment w:val="auto"/>
              <w:rPr>
                <w:rFonts w:ascii="宋体" w:hAnsi="宋体" w:cs="宋体"/>
                <w:kern w:val="0"/>
                <w:szCs w:val="21"/>
              </w:rPr>
            </w:pPr>
            <w:r>
              <w:rPr>
                <w:rFonts w:hint="eastAsia" w:ascii="宋体" w:hAnsi="宋体"/>
                <w:bCs/>
                <w:szCs w:val="21"/>
              </w:rPr>
              <w:t>报价包含税金和辅材</w:t>
            </w:r>
          </w:p>
        </w:tc>
      </w:tr>
      <w:tr>
        <w:tblPrEx>
          <w:tblCellMar>
            <w:top w:w="15" w:type="dxa"/>
            <w:left w:w="108" w:type="dxa"/>
            <w:bottom w:w="15" w:type="dxa"/>
            <w:right w:w="108" w:type="dxa"/>
          </w:tblCellMar>
        </w:tblPrEx>
        <w:trPr>
          <w:trHeight w:val="688"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宋体" w:hAnsi="宋体" w:cs="宋体"/>
                <w:kern w:val="0"/>
                <w:szCs w:val="21"/>
              </w:rPr>
            </w:pPr>
            <w:r>
              <w:rPr>
                <w:rFonts w:ascii="宋体" w:hAnsi="宋体" w:cs="宋体"/>
                <w:kern w:val="0"/>
                <w:szCs w:val="21"/>
              </w:rPr>
              <w:t>2</w:t>
            </w:r>
          </w:p>
        </w:tc>
        <w:tc>
          <w:tcPr>
            <w:tcW w:w="2256" w:type="dxa"/>
            <w:tcBorders>
              <w:top w:val="single" w:color="auto" w:sz="4" w:space="0"/>
              <w:left w:val="single" w:color="auto" w:sz="4" w:space="0"/>
              <w:bottom w:val="single" w:color="auto" w:sz="4" w:space="0"/>
              <w:right w:val="single" w:color="auto" w:sz="4" w:space="0"/>
            </w:tcBorders>
            <w:vAlign w:val="center"/>
          </w:tcPr>
          <w:p>
            <w:pPr>
              <w:kinsoku/>
              <w:wordWrap/>
              <w:overflowPunct/>
              <w:bidi w:val="0"/>
              <w:spacing w:line="560" w:lineRule="atLeast"/>
              <w:jc w:val="left"/>
              <w:textAlignment w:val="auto"/>
              <w:rPr>
                <w:rFonts w:ascii="宋体" w:hAnsi="宋体"/>
                <w:bCs/>
                <w:szCs w:val="21"/>
              </w:rPr>
            </w:pPr>
            <w:r>
              <w:rPr>
                <w:rFonts w:hint="eastAsia" w:ascii="宋体" w:hAnsi="宋体"/>
                <w:bCs/>
                <w:szCs w:val="21"/>
              </w:rPr>
              <w:t>视频数据对接服务</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left"/>
              <w:textAlignment w:val="auto"/>
              <w:rPr>
                <w:rFonts w:ascii="宋体" w:hAnsi="宋体" w:cs="宋体"/>
                <w:kern w:val="0"/>
                <w:szCs w:val="21"/>
              </w:rPr>
            </w:pPr>
          </w:p>
        </w:tc>
        <w:tc>
          <w:tcPr>
            <w:tcW w:w="1363"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宋体" w:hAnsi="宋体" w:cs="宋体"/>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left"/>
              <w:textAlignment w:val="auto"/>
              <w:rPr>
                <w:rFonts w:ascii="宋体" w:hAnsi="宋体" w:cs="宋体"/>
                <w:kern w:val="0"/>
                <w:szCs w:val="21"/>
              </w:rPr>
            </w:pPr>
            <w:r>
              <w:rPr>
                <w:rFonts w:hint="eastAsia" w:ascii="宋体" w:hAnsi="宋体"/>
                <w:bCs/>
                <w:szCs w:val="21"/>
              </w:rPr>
              <w:t>报价包含税金和辅材</w:t>
            </w:r>
          </w:p>
        </w:tc>
      </w:tr>
      <w:tr>
        <w:tblPrEx>
          <w:tblCellMar>
            <w:top w:w="15" w:type="dxa"/>
            <w:left w:w="108" w:type="dxa"/>
            <w:bottom w:w="15" w:type="dxa"/>
            <w:right w:w="108" w:type="dxa"/>
          </w:tblCellMar>
        </w:tblPrEx>
        <w:trPr>
          <w:trHeight w:val="688"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宋体" w:hAnsi="宋体" w:cs="宋体"/>
                <w:kern w:val="0"/>
                <w:szCs w:val="21"/>
              </w:rPr>
            </w:pPr>
            <w:r>
              <w:rPr>
                <w:rFonts w:ascii="宋体" w:hAnsi="宋体" w:cs="宋体"/>
                <w:kern w:val="0"/>
                <w:szCs w:val="21"/>
              </w:rPr>
              <w:t>3</w:t>
            </w:r>
          </w:p>
        </w:tc>
        <w:tc>
          <w:tcPr>
            <w:tcW w:w="2256" w:type="dxa"/>
            <w:tcBorders>
              <w:top w:val="single" w:color="auto" w:sz="4" w:space="0"/>
              <w:left w:val="single" w:color="auto" w:sz="4" w:space="0"/>
              <w:bottom w:val="single" w:color="auto" w:sz="4" w:space="0"/>
              <w:right w:val="single" w:color="auto" w:sz="4" w:space="0"/>
            </w:tcBorders>
            <w:vAlign w:val="center"/>
          </w:tcPr>
          <w:p>
            <w:pPr>
              <w:kinsoku/>
              <w:wordWrap/>
              <w:overflowPunct/>
              <w:bidi w:val="0"/>
              <w:spacing w:line="560" w:lineRule="atLeast"/>
              <w:jc w:val="left"/>
              <w:textAlignment w:val="auto"/>
              <w:rPr>
                <w:rFonts w:ascii="宋体" w:hAnsi="宋体"/>
                <w:szCs w:val="21"/>
              </w:rPr>
            </w:pPr>
            <w:r>
              <w:rPr>
                <w:rFonts w:hint="eastAsia" w:ascii="宋体" w:hAnsi="宋体"/>
                <w:szCs w:val="21"/>
              </w:rPr>
              <w:t>O</w:t>
            </w:r>
            <w:r>
              <w:rPr>
                <w:rFonts w:ascii="宋体" w:hAnsi="宋体"/>
                <w:szCs w:val="21"/>
              </w:rPr>
              <w:t>PC</w:t>
            </w:r>
            <w:r>
              <w:rPr>
                <w:rFonts w:hint="eastAsia" w:ascii="宋体" w:hAnsi="宋体"/>
                <w:szCs w:val="21"/>
              </w:rPr>
              <w:t>物联网关</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left"/>
              <w:textAlignment w:val="auto"/>
              <w:rPr>
                <w:rFonts w:ascii="宋体" w:hAnsi="宋体" w:cs="宋体"/>
                <w:kern w:val="0"/>
                <w:szCs w:val="21"/>
              </w:rPr>
            </w:pPr>
          </w:p>
        </w:tc>
        <w:tc>
          <w:tcPr>
            <w:tcW w:w="1363"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center"/>
              <w:textAlignment w:val="auto"/>
              <w:rPr>
                <w:rFonts w:ascii="宋体" w:hAnsi="宋体" w:cs="宋体"/>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bidi w:val="0"/>
              <w:spacing w:line="560" w:lineRule="atLeast"/>
              <w:jc w:val="left"/>
              <w:textAlignment w:val="auto"/>
              <w:rPr>
                <w:rFonts w:ascii="宋体" w:hAnsi="宋体" w:cs="宋体"/>
                <w:kern w:val="0"/>
                <w:szCs w:val="21"/>
              </w:rPr>
            </w:pPr>
            <w:r>
              <w:rPr>
                <w:rFonts w:hint="eastAsia" w:ascii="宋体" w:hAnsi="宋体"/>
                <w:bCs/>
                <w:szCs w:val="21"/>
              </w:rPr>
              <w:t>报价包含税金和辅材</w:t>
            </w:r>
          </w:p>
        </w:tc>
      </w:tr>
    </w:tbl>
    <w:p>
      <w:pPr>
        <w:kinsoku/>
        <w:wordWrap/>
        <w:overflowPunct/>
        <w:bidi w:val="0"/>
        <w:spacing w:line="560" w:lineRule="atLeast"/>
        <w:textAlignment w:val="auto"/>
        <w:rPr>
          <w:rFonts w:ascii="宋体" w:hAnsi="宋体" w:cs="等线"/>
          <w:sz w:val="28"/>
          <w:szCs w:val="28"/>
        </w:rPr>
      </w:pPr>
    </w:p>
    <w:p>
      <w:pPr>
        <w:kinsoku/>
        <w:wordWrap/>
        <w:overflowPunct/>
        <w:bidi w:val="0"/>
        <w:spacing w:line="560" w:lineRule="atLeast"/>
        <w:textAlignment w:val="auto"/>
      </w:pPr>
    </w:p>
    <w:sectPr>
      <w:headerReference r:id="rId3" w:type="default"/>
      <w:footerReference r:id="rId4" w:type="default"/>
      <w:pgSz w:w="11906" w:h="16838"/>
      <w:pgMar w:top="1588" w:right="1418" w:bottom="1304" w:left="1701" w:header="113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长城小标宋体">
    <w:altName w:val="微软雅黑"/>
    <w:panose1 w:val="00000000000000000000"/>
    <w:charset w:val="86"/>
    <w:family w:val="auto"/>
    <w:pitch w:val="default"/>
    <w:sig w:usb0="00000000" w:usb1="00000000" w:usb2="00000000" w:usb3="00000000" w:csb0="20160004" w:csb1="001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宋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42</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rPr>
        <w:rFonts w:ascii="方正小标宋_GBK" w:hAnsi="方正小标宋_GBK" w:eastAsia="方正小标宋_GBK" w:cs="方正小标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FB27C"/>
    <w:multiLevelType w:val="singleLevel"/>
    <w:tmpl w:val="FA0FB27C"/>
    <w:lvl w:ilvl="0" w:tentative="0">
      <w:start w:val="1"/>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ind w:left="975" w:hanging="420"/>
      </w:pPr>
      <w:rPr>
        <w:rFonts w:hint="default"/>
      </w:rPr>
    </w:lvl>
    <w:lvl w:ilvl="1" w:tentative="0">
      <w:start w:val="1"/>
      <w:numFmt w:val="decimal"/>
      <w:lvlText w:val="（%2）"/>
      <w:lvlJc w:val="left"/>
      <w:pPr>
        <w:ind w:left="1288" w:hanging="720"/>
      </w:pPr>
      <w:rPr>
        <w:rFonts w:hint="default"/>
      </w:r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2">
    <w:nsid w:val="0000000B"/>
    <w:multiLevelType w:val="multilevel"/>
    <w:tmpl w:val="0000000B"/>
    <w:lvl w:ilvl="0" w:tentative="0">
      <w:start w:val="1"/>
      <w:numFmt w:val="chineseCountingThousand"/>
      <w:pStyle w:val="3"/>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3">
    <w:nsid w:val="0056201F"/>
    <w:multiLevelType w:val="multilevel"/>
    <w:tmpl w:val="0056201F"/>
    <w:lvl w:ilvl="0" w:tentative="0">
      <w:start w:val="1"/>
      <w:numFmt w:val="japaneseCounting"/>
      <w:lvlText w:val="第%1部"/>
      <w:lvlJc w:val="left"/>
      <w:pPr>
        <w:ind w:left="840" w:hanging="840"/>
      </w:pPr>
      <w:rPr>
        <w:rFonts w:hint="default" w:ascii="Arial" w:hAnsi="Arial"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690B49"/>
    <w:multiLevelType w:val="multilevel"/>
    <w:tmpl w:val="1D690B49"/>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2646048E"/>
    <w:multiLevelType w:val="multilevel"/>
    <w:tmpl w:val="2646048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506A01"/>
    <w:multiLevelType w:val="multilevel"/>
    <w:tmpl w:val="35506A01"/>
    <w:lvl w:ilvl="0" w:tentative="0">
      <w:start w:val="1"/>
      <w:numFmt w:val="lowerLetter"/>
      <w:lvlText w:val="%1)"/>
      <w:lvlJc w:val="left"/>
      <w:pPr>
        <w:ind w:left="975" w:hanging="420"/>
      </w:p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7">
    <w:nsid w:val="46D4088D"/>
    <w:multiLevelType w:val="multilevel"/>
    <w:tmpl w:val="46D4088D"/>
    <w:lvl w:ilvl="0" w:tentative="0">
      <w:start w:val="1"/>
      <w:numFmt w:val="decimal"/>
      <w:lvlText w:val="%1、"/>
      <w:lvlJc w:val="left"/>
      <w:pPr>
        <w:ind w:left="975" w:hanging="420"/>
      </w:pPr>
      <w:rPr>
        <w:rFonts w:hint="default"/>
      </w:rPr>
    </w:lvl>
    <w:lvl w:ilvl="1" w:tentative="0">
      <w:start w:val="1"/>
      <w:numFmt w:val="decimal"/>
      <w:lvlText w:val="（%2）"/>
      <w:lvlJc w:val="left"/>
      <w:pPr>
        <w:ind w:left="1288" w:hanging="720"/>
      </w:pPr>
      <w:rPr>
        <w:rFonts w:hint="default"/>
      </w:rPr>
    </w:lvl>
    <w:lvl w:ilvl="2" w:tentative="0">
      <w:start w:val="1"/>
      <w:numFmt w:val="lowerRoman"/>
      <w:lvlText w:val="%3."/>
      <w:lvlJc w:val="right"/>
      <w:pPr>
        <w:ind w:left="1815" w:hanging="420"/>
      </w:pPr>
      <w:rPr>
        <w:rFonts w:hint="eastAsia"/>
      </w:rPr>
    </w:lvl>
    <w:lvl w:ilvl="3" w:tentative="0">
      <w:start w:val="1"/>
      <w:numFmt w:val="decimal"/>
      <w:lvlText w:val="%4."/>
      <w:lvlJc w:val="left"/>
      <w:pPr>
        <w:ind w:left="2235" w:hanging="420"/>
      </w:pPr>
      <w:rPr>
        <w:rFonts w:hint="eastAsia"/>
      </w:rPr>
    </w:lvl>
    <w:lvl w:ilvl="4" w:tentative="0">
      <w:start w:val="1"/>
      <w:numFmt w:val="lowerLetter"/>
      <w:lvlText w:val="%5)"/>
      <w:lvlJc w:val="left"/>
      <w:pPr>
        <w:ind w:left="2655" w:hanging="420"/>
      </w:pPr>
      <w:rPr>
        <w:rFonts w:hint="eastAsia"/>
      </w:rPr>
    </w:lvl>
    <w:lvl w:ilvl="5" w:tentative="0">
      <w:start w:val="1"/>
      <w:numFmt w:val="lowerRoman"/>
      <w:lvlText w:val="%6."/>
      <w:lvlJc w:val="right"/>
      <w:pPr>
        <w:ind w:left="3075" w:hanging="420"/>
      </w:pPr>
      <w:rPr>
        <w:rFonts w:hint="eastAsia"/>
      </w:rPr>
    </w:lvl>
    <w:lvl w:ilvl="6" w:tentative="0">
      <w:start w:val="1"/>
      <w:numFmt w:val="decimal"/>
      <w:lvlText w:val="%7."/>
      <w:lvlJc w:val="left"/>
      <w:pPr>
        <w:ind w:left="3495" w:hanging="420"/>
      </w:pPr>
      <w:rPr>
        <w:rFonts w:hint="eastAsia"/>
      </w:rPr>
    </w:lvl>
    <w:lvl w:ilvl="7" w:tentative="0">
      <w:start w:val="1"/>
      <w:numFmt w:val="lowerLetter"/>
      <w:lvlText w:val="%8)"/>
      <w:lvlJc w:val="left"/>
      <w:pPr>
        <w:ind w:left="3915" w:hanging="420"/>
      </w:pPr>
      <w:rPr>
        <w:rFonts w:hint="eastAsia"/>
      </w:rPr>
    </w:lvl>
    <w:lvl w:ilvl="8" w:tentative="0">
      <w:start w:val="1"/>
      <w:numFmt w:val="lowerRoman"/>
      <w:lvlText w:val="%9."/>
      <w:lvlJc w:val="right"/>
      <w:pPr>
        <w:ind w:left="4335" w:hanging="420"/>
      </w:pPr>
      <w:rPr>
        <w:rFonts w:hint="eastAsia"/>
      </w:rPr>
    </w:lvl>
  </w:abstractNum>
  <w:abstractNum w:abstractNumId="8">
    <w:nsid w:val="4CCB48F9"/>
    <w:multiLevelType w:val="multilevel"/>
    <w:tmpl w:val="4CCB48F9"/>
    <w:lvl w:ilvl="0" w:tentative="0">
      <w:start w:val="1"/>
      <w:numFmt w:val="decimal"/>
      <w:pStyle w:val="111"/>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pStyle w:val="175"/>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9">
    <w:nsid w:val="574D5922"/>
    <w:multiLevelType w:val="singleLevel"/>
    <w:tmpl w:val="574D5922"/>
    <w:lvl w:ilvl="0" w:tentative="0">
      <w:start w:val="1"/>
      <w:numFmt w:val="chineseCounting"/>
      <w:suff w:val="nothing"/>
      <w:lvlText w:val="%1、"/>
      <w:lvlJc w:val="left"/>
    </w:lvl>
  </w:abstractNum>
  <w:abstractNum w:abstractNumId="10">
    <w:nsid w:val="5FA16A8B"/>
    <w:multiLevelType w:val="multilevel"/>
    <w:tmpl w:val="5FA16A8B"/>
    <w:lvl w:ilvl="0" w:tentative="0">
      <w:start w:val="1"/>
      <w:numFmt w:val="lowerLetter"/>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69CB58DA"/>
    <w:multiLevelType w:val="multilevel"/>
    <w:tmpl w:val="69CB58DA"/>
    <w:lvl w:ilvl="0" w:tentative="0">
      <w:start w:val="3"/>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8"/>
  </w:num>
  <w:num w:numId="3">
    <w:abstractNumId w:val="3"/>
  </w:num>
  <w:num w:numId="4">
    <w:abstractNumId w:val="1"/>
  </w:num>
  <w:num w:numId="5">
    <w:abstractNumId w:val="10"/>
  </w:num>
  <w:num w:numId="6">
    <w:abstractNumId w:val="11"/>
  </w:num>
  <w:num w:numId="7">
    <w:abstractNumId w:val="6"/>
  </w:num>
  <w:num w:numId="8">
    <w:abstractNumId w:val="5"/>
  </w:num>
  <w:num w:numId="9">
    <w:abstractNumId w:val="9"/>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EE"/>
    <w:rsid w:val="00000078"/>
    <w:rsid w:val="00001194"/>
    <w:rsid w:val="00001517"/>
    <w:rsid w:val="000018F6"/>
    <w:rsid w:val="00003468"/>
    <w:rsid w:val="00003EB5"/>
    <w:rsid w:val="0000500A"/>
    <w:rsid w:val="00006752"/>
    <w:rsid w:val="00007D5E"/>
    <w:rsid w:val="000107D4"/>
    <w:rsid w:val="00010DAE"/>
    <w:rsid w:val="00011324"/>
    <w:rsid w:val="000119CA"/>
    <w:rsid w:val="0001236D"/>
    <w:rsid w:val="0001379E"/>
    <w:rsid w:val="00013D84"/>
    <w:rsid w:val="00015AB1"/>
    <w:rsid w:val="000164F8"/>
    <w:rsid w:val="0001758E"/>
    <w:rsid w:val="000201AE"/>
    <w:rsid w:val="00020769"/>
    <w:rsid w:val="0002279A"/>
    <w:rsid w:val="00022DD3"/>
    <w:rsid w:val="000238D0"/>
    <w:rsid w:val="00023ECD"/>
    <w:rsid w:val="00024528"/>
    <w:rsid w:val="00024A36"/>
    <w:rsid w:val="000252B4"/>
    <w:rsid w:val="00025492"/>
    <w:rsid w:val="00026E68"/>
    <w:rsid w:val="00027C55"/>
    <w:rsid w:val="00027C62"/>
    <w:rsid w:val="000306F8"/>
    <w:rsid w:val="00030D87"/>
    <w:rsid w:val="000322A3"/>
    <w:rsid w:val="000347AE"/>
    <w:rsid w:val="00034BA1"/>
    <w:rsid w:val="00036516"/>
    <w:rsid w:val="00037F0D"/>
    <w:rsid w:val="000403EB"/>
    <w:rsid w:val="000414E8"/>
    <w:rsid w:val="000418A9"/>
    <w:rsid w:val="000418E9"/>
    <w:rsid w:val="000421EA"/>
    <w:rsid w:val="00042C01"/>
    <w:rsid w:val="00043604"/>
    <w:rsid w:val="000444E7"/>
    <w:rsid w:val="00044D13"/>
    <w:rsid w:val="00046D9B"/>
    <w:rsid w:val="00047173"/>
    <w:rsid w:val="00047632"/>
    <w:rsid w:val="00051EA5"/>
    <w:rsid w:val="000521C2"/>
    <w:rsid w:val="000529A2"/>
    <w:rsid w:val="000536AB"/>
    <w:rsid w:val="00054234"/>
    <w:rsid w:val="000553A7"/>
    <w:rsid w:val="00056029"/>
    <w:rsid w:val="00057617"/>
    <w:rsid w:val="00057BCE"/>
    <w:rsid w:val="00061783"/>
    <w:rsid w:val="00061D52"/>
    <w:rsid w:val="000642A3"/>
    <w:rsid w:val="000649F5"/>
    <w:rsid w:val="00064D8C"/>
    <w:rsid w:val="00065335"/>
    <w:rsid w:val="000658B6"/>
    <w:rsid w:val="000658DC"/>
    <w:rsid w:val="0006656E"/>
    <w:rsid w:val="00066A5C"/>
    <w:rsid w:val="0006711F"/>
    <w:rsid w:val="00067864"/>
    <w:rsid w:val="00067CD9"/>
    <w:rsid w:val="0007000A"/>
    <w:rsid w:val="0007072C"/>
    <w:rsid w:val="000711F1"/>
    <w:rsid w:val="000729E2"/>
    <w:rsid w:val="00075CC2"/>
    <w:rsid w:val="00076F25"/>
    <w:rsid w:val="00077442"/>
    <w:rsid w:val="000814E9"/>
    <w:rsid w:val="000817C8"/>
    <w:rsid w:val="00082464"/>
    <w:rsid w:val="0008312F"/>
    <w:rsid w:val="0008367F"/>
    <w:rsid w:val="000838C3"/>
    <w:rsid w:val="00083AED"/>
    <w:rsid w:val="00084AD1"/>
    <w:rsid w:val="00085033"/>
    <w:rsid w:val="000855B3"/>
    <w:rsid w:val="000856CF"/>
    <w:rsid w:val="00085A7F"/>
    <w:rsid w:val="00085B1C"/>
    <w:rsid w:val="00086085"/>
    <w:rsid w:val="00086569"/>
    <w:rsid w:val="000867C7"/>
    <w:rsid w:val="00086876"/>
    <w:rsid w:val="000907C5"/>
    <w:rsid w:val="00091075"/>
    <w:rsid w:val="00096367"/>
    <w:rsid w:val="000979A6"/>
    <w:rsid w:val="000A0973"/>
    <w:rsid w:val="000A0FC2"/>
    <w:rsid w:val="000A1675"/>
    <w:rsid w:val="000A2342"/>
    <w:rsid w:val="000A2C8B"/>
    <w:rsid w:val="000A3AD1"/>
    <w:rsid w:val="000A3EC5"/>
    <w:rsid w:val="000A5CCD"/>
    <w:rsid w:val="000A5D9B"/>
    <w:rsid w:val="000A6D83"/>
    <w:rsid w:val="000A6D92"/>
    <w:rsid w:val="000A7B59"/>
    <w:rsid w:val="000A7E87"/>
    <w:rsid w:val="000A7F81"/>
    <w:rsid w:val="000B020C"/>
    <w:rsid w:val="000B05FF"/>
    <w:rsid w:val="000B0954"/>
    <w:rsid w:val="000B2EA3"/>
    <w:rsid w:val="000B2FC3"/>
    <w:rsid w:val="000B5536"/>
    <w:rsid w:val="000B6FB3"/>
    <w:rsid w:val="000C0029"/>
    <w:rsid w:val="000C0560"/>
    <w:rsid w:val="000C13A4"/>
    <w:rsid w:val="000C19CB"/>
    <w:rsid w:val="000C1DA0"/>
    <w:rsid w:val="000C24EF"/>
    <w:rsid w:val="000C2AE8"/>
    <w:rsid w:val="000C3861"/>
    <w:rsid w:val="000C4F52"/>
    <w:rsid w:val="000C584F"/>
    <w:rsid w:val="000C5F40"/>
    <w:rsid w:val="000C646E"/>
    <w:rsid w:val="000C6C61"/>
    <w:rsid w:val="000C7146"/>
    <w:rsid w:val="000C71AB"/>
    <w:rsid w:val="000C744A"/>
    <w:rsid w:val="000C7A5A"/>
    <w:rsid w:val="000C7DC7"/>
    <w:rsid w:val="000D05F9"/>
    <w:rsid w:val="000D0F39"/>
    <w:rsid w:val="000D1CD7"/>
    <w:rsid w:val="000D3FAE"/>
    <w:rsid w:val="000D56C6"/>
    <w:rsid w:val="000D660A"/>
    <w:rsid w:val="000D67C6"/>
    <w:rsid w:val="000D68B2"/>
    <w:rsid w:val="000D6960"/>
    <w:rsid w:val="000D72C8"/>
    <w:rsid w:val="000D7846"/>
    <w:rsid w:val="000E08F9"/>
    <w:rsid w:val="000E0911"/>
    <w:rsid w:val="000E12BA"/>
    <w:rsid w:val="000E279B"/>
    <w:rsid w:val="000E32C1"/>
    <w:rsid w:val="000F084C"/>
    <w:rsid w:val="000F1BC2"/>
    <w:rsid w:val="000F395E"/>
    <w:rsid w:val="000F4335"/>
    <w:rsid w:val="000F474F"/>
    <w:rsid w:val="000F5837"/>
    <w:rsid w:val="000F60DE"/>
    <w:rsid w:val="000F66FC"/>
    <w:rsid w:val="000F6791"/>
    <w:rsid w:val="000F7509"/>
    <w:rsid w:val="000F7B04"/>
    <w:rsid w:val="00100686"/>
    <w:rsid w:val="00100BEB"/>
    <w:rsid w:val="0010192B"/>
    <w:rsid w:val="00102CB0"/>
    <w:rsid w:val="001032AE"/>
    <w:rsid w:val="00104712"/>
    <w:rsid w:val="00107593"/>
    <w:rsid w:val="00107D77"/>
    <w:rsid w:val="00111874"/>
    <w:rsid w:val="00111FD4"/>
    <w:rsid w:val="00113098"/>
    <w:rsid w:val="001147A1"/>
    <w:rsid w:val="00114D67"/>
    <w:rsid w:val="001153EE"/>
    <w:rsid w:val="001175ED"/>
    <w:rsid w:val="00122AE0"/>
    <w:rsid w:val="00123E1B"/>
    <w:rsid w:val="00123E6B"/>
    <w:rsid w:val="001247DE"/>
    <w:rsid w:val="0012783A"/>
    <w:rsid w:val="00127D98"/>
    <w:rsid w:val="0013008D"/>
    <w:rsid w:val="00130378"/>
    <w:rsid w:val="001318BF"/>
    <w:rsid w:val="00131FA7"/>
    <w:rsid w:val="00134C2D"/>
    <w:rsid w:val="00134D88"/>
    <w:rsid w:val="00136C4E"/>
    <w:rsid w:val="00136F9B"/>
    <w:rsid w:val="00137D3F"/>
    <w:rsid w:val="00140393"/>
    <w:rsid w:val="001403F8"/>
    <w:rsid w:val="00141819"/>
    <w:rsid w:val="00142A1A"/>
    <w:rsid w:val="0014371A"/>
    <w:rsid w:val="00143AED"/>
    <w:rsid w:val="00144ED4"/>
    <w:rsid w:val="001458F2"/>
    <w:rsid w:val="00145CBC"/>
    <w:rsid w:val="001466C9"/>
    <w:rsid w:val="00147BEA"/>
    <w:rsid w:val="00147F8D"/>
    <w:rsid w:val="00151C7A"/>
    <w:rsid w:val="001527B2"/>
    <w:rsid w:val="00152A4B"/>
    <w:rsid w:val="0015405F"/>
    <w:rsid w:val="00154200"/>
    <w:rsid w:val="00156238"/>
    <w:rsid w:val="00156848"/>
    <w:rsid w:val="001569D5"/>
    <w:rsid w:val="0016213E"/>
    <w:rsid w:val="00162181"/>
    <w:rsid w:val="00165F40"/>
    <w:rsid w:val="00166170"/>
    <w:rsid w:val="00166C2E"/>
    <w:rsid w:val="00167FCE"/>
    <w:rsid w:val="00170A7E"/>
    <w:rsid w:val="00170C30"/>
    <w:rsid w:val="00171F96"/>
    <w:rsid w:val="0017218E"/>
    <w:rsid w:val="0017443C"/>
    <w:rsid w:val="001750E0"/>
    <w:rsid w:val="00175AB3"/>
    <w:rsid w:val="00180AF8"/>
    <w:rsid w:val="00180B2F"/>
    <w:rsid w:val="00180EF1"/>
    <w:rsid w:val="0018272F"/>
    <w:rsid w:val="00182943"/>
    <w:rsid w:val="00183B04"/>
    <w:rsid w:val="001848D2"/>
    <w:rsid w:val="00184975"/>
    <w:rsid w:val="001855A8"/>
    <w:rsid w:val="00185F3A"/>
    <w:rsid w:val="00187C5C"/>
    <w:rsid w:val="00192D1C"/>
    <w:rsid w:val="0019389D"/>
    <w:rsid w:val="00193C10"/>
    <w:rsid w:val="00193D5C"/>
    <w:rsid w:val="00196089"/>
    <w:rsid w:val="00196E4A"/>
    <w:rsid w:val="0019703D"/>
    <w:rsid w:val="00197467"/>
    <w:rsid w:val="001A0BB4"/>
    <w:rsid w:val="001A1381"/>
    <w:rsid w:val="001A1E9D"/>
    <w:rsid w:val="001A20D5"/>
    <w:rsid w:val="001A296B"/>
    <w:rsid w:val="001A2CFA"/>
    <w:rsid w:val="001A2FB1"/>
    <w:rsid w:val="001A311E"/>
    <w:rsid w:val="001A38D6"/>
    <w:rsid w:val="001A5453"/>
    <w:rsid w:val="001A75A3"/>
    <w:rsid w:val="001B0B15"/>
    <w:rsid w:val="001B0F3A"/>
    <w:rsid w:val="001B4627"/>
    <w:rsid w:val="001B55E8"/>
    <w:rsid w:val="001B5FC3"/>
    <w:rsid w:val="001B621B"/>
    <w:rsid w:val="001B6BEF"/>
    <w:rsid w:val="001B74C7"/>
    <w:rsid w:val="001B7CE1"/>
    <w:rsid w:val="001C0333"/>
    <w:rsid w:val="001C1BB3"/>
    <w:rsid w:val="001C1E6F"/>
    <w:rsid w:val="001C415A"/>
    <w:rsid w:val="001C4BB6"/>
    <w:rsid w:val="001C6C31"/>
    <w:rsid w:val="001D0228"/>
    <w:rsid w:val="001D0E2A"/>
    <w:rsid w:val="001D2842"/>
    <w:rsid w:val="001D2B44"/>
    <w:rsid w:val="001D37C2"/>
    <w:rsid w:val="001D3B48"/>
    <w:rsid w:val="001D42B0"/>
    <w:rsid w:val="001D48FA"/>
    <w:rsid w:val="001D5D99"/>
    <w:rsid w:val="001D6CBD"/>
    <w:rsid w:val="001D752A"/>
    <w:rsid w:val="001D762D"/>
    <w:rsid w:val="001E2919"/>
    <w:rsid w:val="001E2A1C"/>
    <w:rsid w:val="001E33EF"/>
    <w:rsid w:val="001E3C2F"/>
    <w:rsid w:val="001E514C"/>
    <w:rsid w:val="001E6CED"/>
    <w:rsid w:val="001F06F6"/>
    <w:rsid w:val="001F0C8F"/>
    <w:rsid w:val="001F0E95"/>
    <w:rsid w:val="001F151E"/>
    <w:rsid w:val="001F187C"/>
    <w:rsid w:val="001F38FD"/>
    <w:rsid w:val="001F3A10"/>
    <w:rsid w:val="001F3A51"/>
    <w:rsid w:val="001F3ACB"/>
    <w:rsid w:val="001F3D80"/>
    <w:rsid w:val="001F47AC"/>
    <w:rsid w:val="00200228"/>
    <w:rsid w:val="00200994"/>
    <w:rsid w:val="00200AEE"/>
    <w:rsid w:val="002012EB"/>
    <w:rsid w:val="00202794"/>
    <w:rsid w:val="002041A1"/>
    <w:rsid w:val="0020757E"/>
    <w:rsid w:val="0021016F"/>
    <w:rsid w:val="002119CC"/>
    <w:rsid w:val="00211F71"/>
    <w:rsid w:val="00213078"/>
    <w:rsid w:val="00213B12"/>
    <w:rsid w:val="00213F18"/>
    <w:rsid w:val="00214F6B"/>
    <w:rsid w:val="002152E3"/>
    <w:rsid w:val="002154BC"/>
    <w:rsid w:val="002166F3"/>
    <w:rsid w:val="00216816"/>
    <w:rsid w:val="00217E66"/>
    <w:rsid w:val="002203B0"/>
    <w:rsid w:val="002241DC"/>
    <w:rsid w:val="00224980"/>
    <w:rsid w:val="00224B02"/>
    <w:rsid w:val="00225505"/>
    <w:rsid w:val="00225840"/>
    <w:rsid w:val="00225D05"/>
    <w:rsid w:val="00227BDA"/>
    <w:rsid w:val="00231412"/>
    <w:rsid w:val="00231BF3"/>
    <w:rsid w:val="00232017"/>
    <w:rsid w:val="002321D3"/>
    <w:rsid w:val="002336E2"/>
    <w:rsid w:val="0023382B"/>
    <w:rsid w:val="00234E6A"/>
    <w:rsid w:val="002353E7"/>
    <w:rsid w:val="00235E5B"/>
    <w:rsid w:val="00235F6A"/>
    <w:rsid w:val="00237FE0"/>
    <w:rsid w:val="002403AF"/>
    <w:rsid w:val="002420B6"/>
    <w:rsid w:val="00242E98"/>
    <w:rsid w:val="00243FC2"/>
    <w:rsid w:val="002442BD"/>
    <w:rsid w:val="00244389"/>
    <w:rsid w:val="0024530F"/>
    <w:rsid w:val="0024707F"/>
    <w:rsid w:val="00247225"/>
    <w:rsid w:val="00247322"/>
    <w:rsid w:val="00247981"/>
    <w:rsid w:val="00247A6F"/>
    <w:rsid w:val="0025103C"/>
    <w:rsid w:val="002524F3"/>
    <w:rsid w:val="00252698"/>
    <w:rsid w:val="002526FF"/>
    <w:rsid w:val="00253360"/>
    <w:rsid w:val="00255E06"/>
    <w:rsid w:val="00256776"/>
    <w:rsid w:val="0026011F"/>
    <w:rsid w:val="00260290"/>
    <w:rsid w:val="0026170D"/>
    <w:rsid w:val="002628F6"/>
    <w:rsid w:val="00262C34"/>
    <w:rsid w:val="0026354C"/>
    <w:rsid w:val="00264500"/>
    <w:rsid w:val="00265964"/>
    <w:rsid w:val="00265A30"/>
    <w:rsid w:val="00265CDF"/>
    <w:rsid w:val="00267092"/>
    <w:rsid w:val="002672B7"/>
    <w:rsid w:val="00270E33"/>
    <w:rsid w:val="00271E5D"/>
    <w:rsid w:val="00271FF0"/>
    <w:rsid w:val="0027240F"/>
    <w:rsid w:val="002732C6"/>
    <w:rsid w:val="0027520A"/>
    <w:rsid w:val="00275BB0"/>
    <w:rsid w:val="00276F49"/>
    <w:rsid w:val="00277210"/>
    <w:rsid w:val="00277236"/>
    <w:rsid w:val="0027764F"/>
    <w:rsid w:val="00280B2D"/>
    <w:rsid w:val="002823BF"/>
    <w:rsid w:val="002826CC"/>
    <w:rsid w:val="002866D4"/>
    <w:rsid w:val="002878FE"/>
    <w:rsid w:val="00287BA7"/>
    <w:rsid w:val="00290266"/>
    <w:rsid w:val="002924BC"/>
    <w:rsid w:val="00292DC3"/>
    <w:rsid w:val="00293922"/>
    <w:rsid w:val="00293950"/>
    <w:rsid w:val="00293B42"/>
    <w:rsid w:val="0029516E"/>
    <w:rsid w:val="002953E5"/>
    <w:rsid w:val="00296306"/>
    <w:rsid w:val="002972E2"/>
    <w:rsid w:val="002A083B"/>
    <w:rsid w:val="002A120D"/>
    <w:rsid w:val="002A18EF"/>
    <w:rsid w:val="002A2D47"/>
    <w:rsid w:val="002A3515"/>
    <w:rsid w:val="002A4FFC"/>
    <w:rsid w:val="002A5201"/>
    <w:rsid w:val="002A558B"/>
    <w:rsid w:val="002A5E4E"/>
    <w:rsid w:val="002A65BD"/>
    <w:rsid w:val="002A710F"/>
    <w:rsid w:val="002B05CF"/>
    <w:rsid w:val="002B15EA"/>
    <w:rsid w:val="002B1BD2"/>
    <w:rsid w:val="002B2371"/>
    <w:rsid w:val="002B260C"/>
    <w:rsid w:val="002B2B19"/>
    <w:rsid w:val="002B3635"/>
    <w:rsid w:val="002B3E64"/>
    <w:rsid w:val="002B4013"/>
    <w:rsid w:val="002B565B"/>
    <w:rsid w:val="002B5A23"/>
    <w:rsid w:val="002B6819"/>
    <w:rsid w:val="002B6883"/>
    <w:rsid w:val="002C1630"/>
    <w:rsid w:val="002C218B"/>
    <w:rsid w:val="002C2C0E"/>
    <w:rsid w:val="002C395A"/>
    <w:rsid w:val="002C4CDE"/>
    <w:rsid w:val="002C5553"/>
    <w:rsid w:val="002C564C"/>
    <w:rsid w:val="002C642F"/>
    <w:rsid w:val="002C6C18"/>
    <w:rsid w:val="002C7538"/>
    <w:rsid w:val="002D0A57"/>
    <w:rsid w:val="002D349B"/>
    <w:rsid w:val="002D370C"/>
    <w:rsid w:val="002D52A9"/>
    <w:rsid w:val="002D644B"/>
    <w:rsid w:val="002E0509"/>
    <w:rsid w:val="002E0567"/>
    <w:rsid w:val="002E22DB"/>
    <w:rsid w:val="002E2566"/>
    <w:rsid w:val="002E27F2"/>
    <w:rsid w:val="002E302E"/>
    <w:rsid w:val="002E3786"/>
    <w:rsid w:val="002E3C06"/>
    <w:rsid w:val="002E4D8E"/>
    <w:rsid w:val="002E57A5"/>
    <w:rsid w:val="002E5983"/>
    <w:rsid w:val="002E7191"/>
    <w:rsid w:val="002E74E4"/>
    <w:rsid w:val="002F2574"/>
    <w:rsid w:val="002F359F"/>
    <w:rsid w:val="002F360A"/>
    <w:rsid w:val="002F36B8"/>
    <w:rsid w:val="002F3AB3"/>
    <w:rsid w:val="002F5390"/>
    <w:rsid w:val="0030044B"/>
    <w:rsid w:val="00300D82"/>
    <w:rsid w:val="0030172E"/>
    <w:rsid w:val="003031DA"/>
    <w:rsid w:val="003039C8"/>
    <w:rsid w:val="00304958"/>
    <w:rsid w:val="00304A32"/>
    <w:rsid w:val="00306DB1"/>
    <w:rsid w:val="0030798C"/>
    <w:rsid w:val="00311298"/>
    <w:rsid w:val="00312630"/>
    <w:rsid w:val="003128F3"/>
    <w:rsid w:val="00314162"/>
    <w:rsid w:val="0031461E"/>
    <w:rsid w:val="00314F20"/>
    <w:rsid w:val="00315818"/>
    <w:rsid w:val="003159DF"/>
    <w:rsid w:val="00315F72"/>
    <w:rsid w:val="00322417"/>
    <w:rsid w:val="003228A9"/>
    <w:rsid w:val="00322EF9"/>
    <w:rsid w:val="003242AB"/>
    <w:rsid w:val="00324780"/>
    <w:rsid w:val="003249FC"/>
    <w:rsid w:val="00324ADE"/>
    <w:rsid w:val="00325006"/>
    <w:rsid w:val="00325420"/>
    <w:rsid w:val="00325F8B"/>
    <w:rsid w:val="0032612D"/>
    <w:rsid w:val="0033084D"/>
    <w:rsid w:val="0033145A"/>
    <w:rsid w:val="003324D9"/>
    <w:rsid w:val="003332EC"/>
    <w:rsid w:val="00334CB7"/>
    <w:rsid w:val="00334E04"/>
    <w:rsid w:val="00335754"/>
    <w:rsid w:val="003364ED"/>
    <w:rsid w:val="0033784B"/>
    <w:rsid w:val="00340632"/>
    <w:rsid w:val="0034308C"/>
    <w:rsid w:val="00344109"/>
    <w:rsid w:val="003457DF"/>
    <w:rsid w:val="00345B86"/>
    <w:rsid w:val="00345D1E"/>
    <w:rsid w:val="00346A6B"/>
    <w:rsid w:val="00347526"/>
    <w:rsid w:val="00350592"/>
    <w:rsid w:val="00351900"/>
    <w:rsid w:val="003544AA"/>
    <w:rsid w:val="00356AB9"/>
    <w:rsid w:val="003578A7"/>
    <w:rsid w:val="00357DA7"/>
    <w:rsid w:val="0036278C"/>
    <w:rsid w:val="00362A0C"/>
    <w:rsid w:val="00362A90"/>
    <w:rsid w:val="0036404B"/>
    <w:rsid w:val="003662BA"/>
    <w:rsid w:val="00367121"/>
    <w:rsid w:val="0037051D"/>
    <w:rsid w:val="0037106D"/>
    <w:rsid w:val="00371976"/>
    <w:rsid w:val="003727CD"/>
    <w:rsid w:val="00373497"/>
    <w:rsid w:val="00374838"/>
    <w:rsid w:val="00374A31"/>
    <w:rsid w:val="00374AB6"/>
    <w:rsid w:val="003755B3"/>
    <w:rsid w:val="003802C7"/>
    <w:rsid w:val="00380D64"/>
    <w:rsid w:val="003817AF"/>
    <w:rsid w:val="0038201F"/>
    <w:rsid w:val="00383071"/>
    <w:rsid w:val="003838E6"/>
    <w:rsid w:val="003839D3"/>
    <w:rsid w:val="00383E47"/>
    <w:rsid w:val="00384391"/>
    <w:rsid w:val="00384870"/>
    <w:rsid w:val="00385EF5"/>
    <w:rsid w:val="00385F16"/>
    <w:rsid w:val="00387AED"/>
    <w:rsid w:val="00387F17"/>
    <w:rsid w:val="00390252"/>
    <w:rsid w:val="003909DA"/>
    <w:rsid w:val="00390CC7"/>
    <w:rsid w:val="00391224"/>
    <w:rsid w:val="0039245F"/>
    <w:rsid w:val="00392857"/>
    <w:rsid w:val="00393D2D"/>
    <w:rsid w:val="00394B38"/>
    <w:rsid w:val="00394C03"/>
    <w:rsid w:val="00395A2B"/>
    <w:rsid w:val="0039626E"/>
    <w:rsid w:val="003A0B7C"/>
    <w:rsid w:val="003A1A54"/>
    <w:rsid w:val="003A29AC"/>
    <w:rsid w:val="003A3206"/>
    <w:rsid w:val="003A43C1"/>
    <w:rsid w:val="003A57F5"/>
    <w:rsid w:val="003A60CF"/>
    <w:rsid w:val="003A6275"/>
    <w:rsid w:val="003A6431"/>
    <w:rsid w:val="003A7BC6"/>
    <w:rsid w:val="003B0403"/>
    <w:rsid w:val="003B08C1"/>
    <w:rsid w:val="003B19E7"/>
    <w:rsid w:val="003B1F7D"/>
    <w:rsid w:val="003B3090"/>
    <w:rsid w:val="003B3795"/>
    <w:rsid w:val="003B4F5F"/>
    <w:rsid w:val="003B69DF"/>
    <w:rsid w:val="003C0984"/>
    <w:rsid w:val="003C11A8"/>
    <w:rsid w:val="003C2BAE"/>
    <w:rsid w:val="003C2ED1"/>
    <w:rsid w:val="003C485C"/>
    <w:rsid w:val="003C4EBC"/>
    <w:rsid w:val="003C6B52"/>
    <w:rsid w:val="003C6E25"/>
    <w:rsid w:val="003C7952"/>
    <w:rsid w:val="003D171C"/>
    <w:rsid w:val="003D3F90"/>
    <w:rsid w:val="003D4057"/>
    <w:rsid w:val="003D443B"/>
    <w:rsid w:val="003D4EC6"/>
    <w:rsid w:val="003D4FC3"/>
    <w:rsid w:val="003D60E7"/>
    <w:rsid w:val="003D6BB1"/>
    <w:rsid w:val="003E006B"/>
    <w:rsid w:val="003E0953"/>
    <w:rsid w:val="003E0CCA"/>
    <w:rsid w:val="003E0EAC"/>
    <w:rsid w:val="003E25B2"/>
    <w:rsid w:val="003E4D39"/>
    <w:rsid w:val="003E5D24"/>
    <w:rsid w:val="003F17FD"/>
    <w:rsid w:val="003F1F85"/>
    <w:rsid w:val="003F3DAC"/>
    <w:rsid w:val="003F4B79"/>
    <w:rsid w:val="003F5BC6"/>
    <w:rsid w:val="003F5EEB"/>
    <w:rsid w:val="003F617D"/>
    <w:rsid w:val="003F6DF7"/>
    <w:rsid w:val="003F76F1"/>
    <w:rsid w:val="003F7BFC"/>
    <w:rsid w:val="00400077"/>
    <w:rsid w:val="00403A1E"/>
    <w:rsid w:val="00403C16"/>
    <w:rsid w:val="0040474A"/>
    <w:rsid w:val="0040492C"/>
    <w:rsid w:val="004056B0"/>
    <w:rsid w:val="004068F8"/>
    <w:rsid w:val="00407857"/>
    <w:rsid w:val="00410E54"/>
    <w:rsid w:val="00410FC6"/>
    <w:rsid w:val="00411105"/>
    <w:rsid w:val="0041198E"/>
    <w:rsid w:val="00412AB5"/>
    <w:rsid w:val="0041641E"/>
    <w:rsid w:val="004168E3"/>
    <w:rsid w:val="00417331"/>
    <w:rsid w:val="0041773B"/>
    <w:rsid w:val="0042022A"/>
    <w:rsid w:val="00420C57"/>
    <w:rsid w:val="00422C77"/>
    <w:rsid w:val="00423F48"/>
    <w:rsid w:val="004240E2"/>
    <w:rsid w:val="00425273"/>
    <w:rsid w:val="00425CF6"/>
    <w:rsid w:val="00426F47"/>
    <w:rsid w:val="00427599"/>
    <w:rsid w:val="00430B07"/>
    <w:rsid w:val="004319BF"/>
    <w:rsid w:val="0043300B"/>
    <w:rsid w:val="004337D7"/>
    <w:rsid w:val="0043382A"/>
    <w:rsid w:val="00433A20"/>
    <w:rsid w:val="00433C93"/>
    <w:rsid w:val="00433E4C"/>
    <w:rsid w:val="00433EEA"/>
    <w:rsid w:val="00434308"/>
    <w:rsid w:val="00434808"/>
    <w:rsid w:val="00436AFC"/>
    <w:rsid w:val="00437099"/>
    <w:rsid w:val="00437366"/>
    <w:rsid w:val="00440978"/>
    <w:rsid w:val="004414AD"/>
    <w:rsid w:val="0044150F"/>
    <w:rsid w:val="004436FB"/>
    <w:rsid w:val="004438FD"/>
    <w:rsid w:val="00443D67"/>
    <w:rsid w:val="004455CC"/>
    <w:rsid w:val="00446C32"/>
    <w:rsid w:val="0044735C"/>
    <w:rsid w:val="004509C7"/>
    <w:rsid w:val="00451334"/>
    <w:rsid w:val="004525D0"/>
    <w:rsid w:val="00454113"/>
    <w:rsid w:val="00454513"/>
    <w:rsid w:val="00455E09"/>
    <w:rsid w:val="00456FCC"/>
    <w:rsid w:val="00456FDA"/>
    <w:rsid w:val="004578A9"/>
    <w:rsid w:val="00457AD0"/>
    <w:rsid w:val="00461250"/>
    <w:rsid w:val="004615D6"/>
    <w:rsid w:val="004637BC"/>
    <w:rsid w:val="00463909"/>
    <w:rsid w:val="00463C7F"/>
    <w:rsid w:val="0046402C"/>
    <w:rsid w:val="004640EA"/>
    <w:rsid w:val="00464FC2"/>
    <w:rsid w:val="00470A21"/>
    <w:rsid w:val="00471FA2"/>
    <w:rsid w:val="00472157"/>
    <w:rsid w:val="00472163"/>
    <w:rsid w:val="00474FF8"/>
    <w:rsid w:val="00475E1D"/>
    <w:rsid w:val="00476D28"/>
    <w:rsid w:val="004774CB"/>
    <w:rsid w:val="004778E4"/>
    <w:rsid w:val="004806B3"/>
    <w:rsid w:val="00480BDE"/>
    <w:rsid w:val="00481A96"/>
    <w:rsid w:val="00481F08"/>
    <w:rsid w:val="0048454D"/>
    <w:rsid w:val="00484695"/>
    <w:rsid w:val="004852E7"/>
    <w:rsid w:val="004855B2"/>
    <w:rsid w:val="004863E6"/>
    <w:rsid w:val="004908B8"/>
    <w:rsid w:val="0049290E"/>
    <w:rsid w:val="00492AE4"/>
    <w:rsid w:val="00494EEA"/>
    <w:rsid w:val="00495207"/>
    <w:rsid w:val="004960F8"/>
    <w:rsid w:val="0049622E"/>
    <w:rsid w:val="00497C45"/>
    <w:rsid w:val="004A00AF"/>
    <w:rsid w:val="004A026E"/>
    <w:rsid w:val="004A0D55"/>
    <w:rsid w:val="004A11A8"/>
    <w:rsid w:val="004A1DC8"/>
    <w:rsid w:val="004A3DDB"/>
    <w:rsid w:val="004A473D"/>
    <w:rsid w:val="004A47C3"/>
    <w:rsid w:val="004A4E0B"/>
    <w:rsid w:val="004A582B"/>
    <w:rsid w:val="004A5FC0"/>
    <w:rsid w:val="004A6641"/>
    <w:rsid w:val="004B36EC"/>
    <w:rsid w:val="004B3794"/>
    <w:rsid w:val="004B385C"/>
    <w:rsid w:val="004B3928"/>
    <w:rsid w:val="004B3C34"/>
    <w:rsid w:val="004B3DA0"/>
    <w:rsid w:val="004B43B0"/>
    <w:rsid w:val="004B46EE"/>
    <w:rsid w:val="004B4B03"/>
    <w:rsid w:val="004B4EC7"/>
    <w:rsid w:val="004B5E47"/>
    <w:rsid w:val="004B75C4"/>
    <w:rsid w:val="004C03FC"/>
    <w:rsid w:val="004C1E2F"/>
    <w:rsid w:val="004C2123"/>
    <w:rsid w:val="004C2E56"/>
    <w:rsid w:val="004C4605"/>
    <w:rsid w:val="004C471C"/>
    <w:rsid w:val="004C5432"/>
    <w:rsid w:val="004C5740"/>
    <w:rsid w:val="004C5873"/>
    <w:rsid w:val="004C5C64"/>
    <w:rsid w:val="004C7795"/>
    <w:rsid w:val="004D1806"/>
    <w:rsid w:val="004D2C4C"/>
    <w:rsid w:val="004D3AAB"/>
    <w:rsid w:val="004D4AFD"/>
    <w:rsid w:val="004D6062"/>
    <w:rsid w:val="004D6A9C"/>
    <w:rsid w:val="004D6DF7"/>
    <w:rsid w:val="004E1502"/>
    <w:rsid w:val="004E2344"/>
    <w:rsid w:val="004E2933"/>
    <w:rsid w:val="004E2CF8"/>
    <w:rsid w:val="004E37B0"/>
    <w:rsid w:val="004E3E0C"/>
    <w:rsid w:val="004E4C11"/>
    <w:rsid w:val="004E54CB"/>
    <w:rsid w:val="004E5EBB"/>
    <w:rsid w:val="004F0BF2"/>
    <w:rsid w:val="004F1FA5"/>
    <w:rsid w:val="004F3B00"/>
    <w:rsid w:val="004F51F0"/>
    <w:rsid w:val="004F5275"/>
    <w:rsid w:val="004F56E1"/>
    <w:rsid w:val="004F5ECC"/>
    <w:rsid w:val="004F72FC"/>
    <w:rsid w:val="004F79C4"/>
    <w:rsid w:val="00500621"/>
    <w:rsid w:val="00500A1A"/>
    <w:rsid w:val="00502466"/>
    <w:rsid w:val="00502879"/>
    <w:rsid w:val="00503E01"/>
    <w:rsid w:val="00506C82"/>
    <w:rsid w:val="00506EC8"/>
    <w:rsid w:val="00506FAF"/>
    <w:rsid w:val="00507EC7"/>
    <w:rsid w:val="00507EC8"/>
    <w:rsid w:val="005100EF"/>
    <w:rsid w:val="00510143"/>
    <w:rsid w:val="005108DD"/>
    <w:rsid w:val="005109A4"/>
    <w:rsid w:val="0051146A"/>
    <w:rsid w:val="00511F26"/>
    <w:rsid w:val="0051286C"/>
    <w:rsid w:val="00514A61"/>
    <w:rsid w:val="00516E46"/>
    <w:rsid w:val="00520B75"/>
    <w:rsid w:val="005214FF"/>
    <w:rsid w:val="00522C69"/>
    <w:rsid w:val="005239EE"/>
    <w:rsid w:val="00524B08"/>
    <w:rsid w:val="00526ADE"/>
    <w:rsid w:val="0053056E"/>
    <w:rsid w:val="00530D34"/>
    <w:rsid w:val="00530E1C"/>
    <w:rsid w:val="00530E93"/>
    <w:rsid w:val="0053143B"/>
    <w:rsid w:val="00531BE4"/>
    <w:rsid w:val="00531E32"/>
    <w:rsid w:val="00532343"/>
    <w:rsid w:val="00533078"/>
    <w:rsid w:val="00534EF1"/>
    <w:rsid w:val="0053596F"/>
    <w:rsid w:val="0053617F"/>
    <w:rsid w:val="00536615"/>
    <w:rsid w:val="00537367"/>
    <w:rsid w:val="005404E3"/>
    <w:rsid w:val="00541B65"/>
    <w:rsid w:val="00541F08"/>
    <w:rsid w:val="005427EF"/>
    <w:rsid w:val="00543778"/>
    <w:rsid w:val="00543AFF"/>
    <w:rsid w:val="00544425"/>
    <w:rsid w:val="00544685"/>
    <w:rsid w:val="0054483C"/>
    <w:rsid w:val="005448F4"/>
    <w:rsid w:val="00544F5A"/>
    <w:rsid w:val="005458FE"/>
    <w:rsid w:val="00545C05"/>
    <w:rsid w:val="005463A9"/>
    <w:rsid w:val="00546CFD"/>
    <w:rsid w:val="00547904"/>
    <w:rsid w:val="00550D57"/>
    <w:rsid w:val="00550E81"/>
    <w:rsid w:val="005550D9"/>
    <w:rsid w:val="00555E73"/>
    <w:rsid w:val="00555EF5"/>
    <w:rsid w:val="00556779"/>
    <w:rsid w:val="005569FE"/>
    <w:rsid w:val="00556B06"/>
    <w:rsid w:val="00561233"/>
    <w:rsid w:val="005617E6"/>
    <w:rsid w:val="005629F1"/>
    <w:rsid w:val="00563AD9"/>
    <w:rsid w:val="00563E5D"/>
    <w:rsid w:val="00564C32"/>
    <w:rsid w:val="005654B1"/>
    <w:rsid w:val="00567432"/>
    <w:rsid w:val="00567E0D"/>
    <w:rsid w:val="005705AE"/>
    <w:rsid w:val="005707D3"/>
    <w:rsid w:val="00571C5E"/>
    <w:rsid w:val="00571DE8"/>
    <w:rsid w:val="00572609"/>
    <w:rsid w:val="005727F4"/>
    <w:rsid w:val="00572848"/>
    <w:rsid w:val="00572C43"/>
    <w:rsid w:val="00573ED0"/>
    <w:rsid w:val="00574577"/>
    <w:rsid w:val="0057505E"/>
    <w:rsid w:val="005753F3"/>
    <w:rsid w:val="005771BE"/>
    <w:rsid w:val="00577E24"/>
    <w:rsid w:val="0058076E"/>
    <w:rsid w:val="00581AA9"/>
    <w:rsid w:val="00582341"/>
    <w:rsid w:val="00582439"/>
    <w:rsid w:val="00582910"/>
    <w:rsid w:val="00585B34"/>
    <w:rsid w:val="00590A53"/>
    <w:rsid w:val="00591DA2"/>
    <w:rsid w:val="00592909"/>
    <w:rsid w:val="0059290F"/>
    <w:rsid w:val="00593498"/>
    <w:rsid w:val="00593F30"/>
    <w:rsid w:val="00594EFB"/>
    <w:rsid w:val="005955A6"/>
    <w:rsid w:val="005964F2"/>
    <w:rsid w:val="005976D4"/>
    <w:rsid w:val="00597ED2"/>
    <w:rsid w:val="005A0D58"/>
    <w:rsid w:val="005A2937"/>
    <w:rsid w:val="005A2E09"/>
    <w:rsid w:val="005A2F70"/>
    <w:rsid w:val="005A3633"/>
    <w:rsid w:val="005A40CB"/>
    <w:rsid w:val="005A5407"/>
    <w:rsid w:val="005A5421"/>
    <w:rsid w:val="005A5BBF"/>
    <w:rsid w:val="005A5CA2"/>
    <w:rsid w:val="005A6337"/>
    <w:rsid w:val="005A708F"/>
    <w:rsid w:val="005B05EF"/>
    <w:rsid w:val="005B16EC"/>
    <w:rsid w:val="005B2A1E"/>
    <w:rsid w:val="005B2A87"/>
    <w:rsid w:val="005B2CC5"/>
    <w:rsid w:val="005B3306"/>
    <w:rsid w:val="005B4A49"/>
    <w:rsid w:val="005B635C"/>
    <w:rsid w:val="005B6CBE"/>
    <w:rsid w:val="005B7359"/>
    <w:rsid w:val="005C0731"/>
    <w:rsid w:val="005C0C0B"/>
    <w:rsid w:val="005C209F"/>
    <w:rsid w:val="005C21FB"/>
    <w:rsid w:val="005C2308"/>
    <w:rsid w:val="005C273F"/>
    <w:rsid w:val="005C4704"/>
    <w:rsid w:val="005C6B9B"/>
    <w:rsid w:val="005C765C"/>
    <w:rsid w:val="005C7BC1"/>
    <w:rsid w:val="005C7E0D"/>
    <w:rsid w:val="005D0905"/>
    <w:rsid w:val="005D0AA5"/>
    <w:rsid w:val="005D1A09"/>
    <w:rsid w:val="005D1AD1"/>
    <w:rsid w:val="005D1B51"/>
    <w:rsid w:val="005D25B0"/>
    <w:rsid w:val="005D310A"/>
    <w:rsid w:val="005D4968"/>
    <w:rsid w:val="005D5954"/>
    <w:rsid w:val="005D6326"/>
    <w:rsid w:val="005D6367"/>
    <w:rsid w:val="005D6993"/>
    <w:rsid w:val="005D7254"/>
    <w:rsid w:val="005D7756"/>
    <w:rsid w:val="005D79DE"/>
    <w:rsid w:val="005E199A"/>
    <w:rsid w:val="005E2183"/>
    <w:rsid w:val="005E21DD"/>
    <w:rsid w:val="005E286E"/>
    <w:rsid w:val="005E348F"/>
    <w:rsid w:val="005E3D9C"/>
    <w:rsid w:val="005E40E5"/>
    <w:rsid w:val="005E47C6"/>
    <w:rsid w:val="005E7599"/>
    <w:rsid w:val="005F00EC"/>
    <w:rsid w:val="005F1368"/>
    <w:rsid w:val="005F2E15"/>
    <w:rsid w:val="005F2F88"/>
    <w:rsid w:val="005F32D9"/>
    <w:rsid w:val="005F3372"/>
    <w:rsid w:val="005F4047"/>
    <w:rsid w:val="005F467A"/>
    <w:rsid w:val="005F4C09"/>
    <w:rsid w:val="005F4C3C"/>
    <w:rsid w:val="005F525B"/>
    <w:rsid w:val="005F542F"/>
    <w:rsid w:val="005F69C2"/>
    <w:rsid w:val="005F6FA1"/>
    <w:rsid w:val="006001A2"/>
    <w:rsid w:val="00600AEC"/>
    <w:rsid w:val="00601643"/>
    <w:rsid w:val="006023F0"/>
    <w:rsid w:val="00606E1F"/>
    <w:rsid w:val="00607323"/>
    <w:rsid w:val="006105A2"/>
    <w:rsid w:val="006106D4"/>
    <w:rsid w:val="006125A4"/>
    <w:rsid w:val="00613146"/>
    <w:rsid w:val="00613487"/>
    <w:rsid w:val="00613A02"/>
    <w:rsid w:val="006150DC"/>
    <w:rsid w:val="0061552D"/>
    <w:rsid w:val="00615CCA"/>
    <w:rsid w:val="00615F40"/>
    <w:rsid w:val="00620163"/>
    <w:rsid w:val="006203B0"/>
    <w:rsid w:val="00620F2C"/>
    <w:rsid w:val="00620F70"/>
    <w:rsid w:val="00621177"/>
    <w:rsid w:val="00621474"/>
    <w:rsid w:val="006224E8"/>
    <w:rsid w:val="00622AEE"/>
    <w:rsid w:val="00622CD1"/>
    <w:rsid w:val="00623884"/>
    <w:rsid w:val="00623AFD"/>
    <w:rsid w:val="00623C5D"/>
    <w:rsid w:val="00624DE8"/>
    <w:rsid w:val="00626757"/>
    <w:rsid w:val="006274B7"/>
    <w:rsid w:val="00627B7C"/>
    <w:rsid w:val="00631482"/>
    <w:rsid w:val="00631B17"/>
    <w:rsid w:val="00631CF2"/>
    <w:rsid w:val="00632C4C"/>
    <w:rsid w:val="00633DBC"/>
    <w:rsid w:val="00633E39"/>
    <w:rsid w:val="00641498"/>
    <w:rsid w:val="00642FD5"/>
    <w:rsid w:val="00645DA5"/>
    <w:rsid w:val="00645E89"/>
    <w:rsid w:val="00646540"/>
    <w:rsid w:val="00646E32"/>
    <w:rsid w:val="00647434"/>
    <w:rsid w:val="00647E62"/>
    <w:rsid w:val="006516C9"/>
    <w:rsid w:val="00651E78"/>
    <w:rsid w:val="006537A5"/>
    <w:rsid w:val="00653FDF"/>
    <w:rsid w:val="006542D7"/>
    <w:rsid w:val="0065666F"/>
    <w:rsid w:val="00660098"/>
    <w:rsid w:val="0066026E"/>
    <w:rsid w:val="0066055F"/>
    <w:rsid w:val="00660E20"/>
    <w:rsid w:val="00662E27"/>
    <w:rsid w:val="00665E6B"/>
    <w:rsid w:val="00665E71"/>
    <w:rsid w:val="00666EDB"/>
    <w:rsid w:val="0067076F"/>
    <w:rsid w:val="00672D96"/>
    <w:rsid w:val="00673207"/>
    <w:rsid w:val="00673C65"/>
    <w:rsid w:val="00674047"/>
    <w:rsid w:val="006740EF"/>
    <w:rsid w:val="006748F0"/>
    <w:rsid w:val="00674F51"/>
    <w:rsid w:val="00675462"/>
    <w:rsid w:val="00676E94"/>
    <w:rsid w:val="00677C8D"/>
    <w:rsid w:val="00677FE2"/>
    <w:rsid w:val="00680D0C"/>
    <w:rsid w:val="00680FBA"/>
    <w:rsid w:val="00681710"/>
    <w:rsid w:val="00681CBD"/>
    <w:rsid w:val="006821E2"/>
    <w:rsid w:val="00682833"/>
    <w:rsid w:val="00683489"/>
    <w:rsid w:val="006834E3"/>
    <w:rsid w:val="00684426"/>
    <w:rsid w:val="00684456"/>
    <w:rsid w:val="00685D33"/>
    <w:rsid w:val="00686469"/>
    <w:rsid w:val="006866B0"/>
    <w:rsid w:val="00686B09"/>
    <w:rsid w:val="006874D3"/>
    <w:rsid w:val="00690FAF"/>
    <w:rsid w:val="006917DC"/>
    <w:rsid w:val="00691E0A"/>
    <w:rsid w:val="00692294"/>
    <w:rsid w:val="00692493"/>
    <w:rsid w:val="006955A0"/>
    <w:rsid w:val="00695661"/>
    <w:rsid w:val="00695D49"/>
    <w:rsid w:val="0069677B"/>
    <w:rsid w:val="00696E0A"/>
    <w:rsid w:val="00697578"/>
    <w:rsid w:val="006A120E"/>
    <w:rsid w:val="006A22C3"/>
    <w:rsid w:val="006A2301"/>
    <w:rsid w:val="006A33EE"/>
    <w:rsid w:val="006A4570"/>
    <w:rsid w:val="006A4D31"/>
    <w:rsid w:val="006A55AE"/>
    <w:rsid w:val="006A56A9"/>
    <w:rsid w:val="006A5745"/>
    <w:rsid w:val="006A6724"/>
    <w:rsid w:val="006A6A59"/>
    <w:rsid w:val="006A705A"/>
    <w:rsid w:val="006A7873"/>
    <w:rsid w:val="006A7973"/>
    <w:rsid w:val="006B0EEC"/>
    <w:rsid w:val="006B10D3"/>
    <w:rsid w:val="006B1D43"/>
    <w:rsid w:val="006B2B50"/>
    <w:rsid w:val="006B48DA"/>
    <w:rsid w:val="006B49B3"/>
    <w:rsid w:val="006B6DCA"/>
    <w:rsid w:val="006B6EA9"/>
    <w:rsid w:val="006B72E7"/>
    <w:rsid w:val="006B74B5"/>
    <w:rsid w:val="006B7F36"/>
    <w:rsid w:val="006C06CB"/>
    <w:rsid w:val="006C2A6F"/>
    <w:rsid w:val="006C2EE4"/>
    <w:rsid w:val="006C324A"/>
    <w:rsid w:val="006C3AB5"/>
    <w:rsid w:val="006C4054"/>
    <w:rsid w:val="006C46BA"/>
    <w:rsid w:val="006C4D04"/>
    <w:rsid w:val="006C546E"/>
    <w:rsid w:val="006C5FA1"/>
    <w:rsid w:val="006C6687"/>
    <w:rsid w:val="006C727A"/>
    <w:rsid w:val="006C72FB"/>
    <w:rsid w:val="006D0627"/>
    <w:rsid w:val="006D11A8"/>
    <w:rsid w:val="006D22BC"/>
    <w:rsid w:val="006D2607"/>
    <w:rsid w:val="006D44E3"/>
    <w:rsid w:val="006D4527"/>
    <w:rsid w:val="006D4681"/>
    <w:rsid w:val="006D47B5"/>
    <w:rsid w:val="006D483F"/>
    <w:rsid w:val="006D6CAE"/>
    <w:rsid w:val="006E0C2E"/>
    <w:rsid w:val="006E1145"/>
    <w:rsid w:val="006E135B"/>
    <w:rsid w:val="006E1A33"/>
    <w:rsid w:val="006E28E3"/>
    <w:rsid w:val="006E2ADD"/>
    <w:rsid w:val="006E2BC1"/>
    <w:rsid w:val="006E2CC8"/>
    <w:rsid w:val="006E2FA6"/>
    <w:rsid w:val="006E6340"/>
    <w:rsid w:val="006E7EC6"/>
    <w:rsid w:val="006F1437"/>
    <w:rsid w:val="006F17C9"/>
    <w:rsid w:val="006F1985"/>
    <w:rsid w:val="006F1B39"/>
    <w:rsid w:val="006F32AB"/>
    <w:rsid w:val="006F4A89"/>
    <w:rsid w:val="006F4AAB"/>
    <w:rsid w:val="006F5518"/>
    <w:rsid w:val="006F56F4"/>
    <w:rsid w:val="006F5D61"/>
    <w:rsid w:val="006F5E86"/>
    <w:rsid w:val="006F636F"/>
    <w:rsid w:val="006F65C1"/>
    <w:rsid w:val="006F66E7"/>
    <w:rsid w:val="006F6C81"/>
    <w:rsid w:val="007003AD"/>
    <w:rsid w:val="007005A2"/>
    <w:rsid w:val="00701D78"/>
    <w:rsid w:val="00703907"/>
    <w:rsid w:val="00705445"/>
    <w:rsid w:val="0070603F"/>
    <w:rsid w:val="00706B2D"/>
    <w:rsid w:val="00712E13"/>
    <w:rsid w:val="007140D8"/>
    <w:rsid w:val="007143AC"/>
    <w:rsid w:val="00715207"/>
    <w:rsid w:val="007161AA"/>
    <w:rsid w:val="007165C0"/>
    <w:rsid w:val="00721B05"/>
    <w:rsid w:val="00723913"/>
    <w:rsid w:val="00724B89"/>
    <w:rsid w:val="00725310"/>
    <w:rsid w:val="0072578C"/>
    <w:rsid w:val="00725936"/>
    <w:rsid w:val="00727A36"/>
    <w:rsid w:val="00727FE7"/>
    <w:rsid w:val="00730759"/>
    <w:rsid w:val="007308A3"/>
    <w:rsid w:val="00730F43"/>
    <w:rsid w:val="00731177"/>
    <w:rsid w:val="00731A64"/>
    <w:rsid w:val="0073243E"/>
    <w:rsid w:val="00732DCD"/>
    <w:rsid w:val="0073318A"/>
    <w:rsid w:val="00734563"/>
    <w:rsid w:val="0073457B"/>
    <w:rsid w:val="00734BA5"/>
    <w:rsid w:val="007352EE"/>
    <w:rsid w:val="00736ECE"/>
    <w:rsid w:val="007370DA"/>
    <w:rsid w:val="00737ABC"/>
    <w:rsid w:val="00740145"/>
    <w:rsid w:val="007426B0"/>
    <w:rsid w:val="00742EBA"/>
    <w:rsid w:val="00743690"/>
    <w:rsid w:val="007444B4"/>
    <w:rsid w:val="007445F6"/>
    <w:rsid w:val="00744A12"/>
    <w:rsid w:val="00744E9C"/>
    <w:rsid w:val="00745AEB"/>
    <w:rsid w:val="0074674B"/>
    <w:rsid w:val="0074731C"/>
    <w:rsid w:val="00747C83"/>
    <w:rsid w:val="0075040A"/>
    <w:rsid w:val="00751893"/>
    <w:rsid w:val="007522A1"/>
    <w:rsid w:val="00752AD5"/>
    <w:rsid w:val="007532F2"/>
    <w:rsid w:val="0075514C"/>
    <w:rsid w:val="007560CE"/>
    <w:rsid w:val="007569EE"/>
    <w:rsid w:val="0076030D"/>
    <w:rsid w:val="007607A1"/>
    <w:rsid w:val="0076175E"/>
    <w:rsid w:val="00761B3E"/>
    <w:rsid w:val="00761C52"/>
    <w:rsid w:val="00761D52"/>
    <w:rsid w:val="00761E49"/>
    <w:rsid w:val="00761FEC"/>
    <w:rsid w:val="00762057"/>
    <w:rsid w:val="00762D71"/>
    <w:rsid w:val="00763933"/>
    <w:rsid w:val="00763B18"/>
    <w:rsid w:val="00763CF2"/>
    <w:rsid w:val="00763D48"/>
    <w:rsid w:val="00764377"/>
    <w:rsid w:val="00764DC0"/>
    <w:rsid w:val="0076598B"/>
    <w:rsid w:val="00766D11"/>
    <w:rsid w:val="0076704A"/>
    <w:rsid w:val="00767430"/>
    <w:rsid w:val="007674D3"/>
    <w:rsid w:val="0077107C"/>
    <w:rsid w:val="00773B35"/>
    <w:rsid w:val="00773FB6"/>
    <w:rsid w:val="00774368"/>
    <w:rsid w:val="00776DD6"/>
    <w:rsid w:val="00777B37"/>
    <w:rsid w:val="00777CFC"/>
    <w:rsid w:val="00780726"/>
    <w:rsid w:val="00780764"/>
    <w:rsid w:val="007819A1"/>
    <w:rsid w:val="00781C9C"/>
    <w:rsid w:val="007836B6"/>
    <w:rsid w:val="007836E1"/>
    <w:rsid w:val="00785901"/>
    <w:rsid w:val="00785FF0"/>
    <w:rsid w:val="00786473"/>
    <w:rsid w:val="007865F4"/>
    <w:rsid w:val="00786D26"/>
    <w:rsid w:val="00786DA5"/>
    <w:rsid w:val="007872E3"/>
    <w:rsid w:val="00791369"/>
    <w:rsid w:val="00792050"/>
    <w:rsid w:val="007925C7"/>
    <w:rsid w:val="00796157"/>
    <w:rsid w:val="00797333"/>
    <w:rsid w:val="007A04F3"/>
    <w:rsid w:val="007A11E1"/>
    <w:rsid w:val="007A1B2D"/>
    <w:rsid w:val="007A2466"/>
    <w:rsid w:val="007A2C2E"/>
    <w:rsid w:val="007A3BA8"/>
    <w:rsid w:val="007A4BBF"/>
    <w:rsid w:val="007B0E6B"/>
    <w:rsid w:val="007B113E"/>
    <w:rsid w:val="007B137C"/>
    <w:rsid w:val="007B1D19"/>
    <w:rsid w:val="007B2684"/>
    <w:rsid w:val="007B53CE"/>
    <w:rsid w:val="007B5EBA"/>
    <w:rsid w:val="007B6149"/>
    <w:rsid w:val="007B63CD"/>
    <w:rsid w:val="007B6AEB"/>
    <w:rsid w:val="007B6C56"/>
    <w:rsid w:val="007C0AA4"/>
    <w:rsid w:val="007C1449"/>
    <w:rsid w:val="007C1CA9"/>
    <w:rsid w:val="007C21F8"/>
    <w:rsid w:val="007C3501"/>
    <w:rsid w:val="007C3E2C"/>
    <w:rsid w:val="007C55D5"/>
    <w:rsid w:val="007C6A5B"/>
    <w:rsid w:val="007C7B0B"/>
    <w:rsid w:val="007D09E9"/>
    <w:rsid w:val="007D0AF1"/>
    <w:rsid w:val="007D0C08"/>
    <w:rsid w:val="007D1355"/>
    <w:rsid w:val="007D2132"/>
    <w:rsid w:val="007D37A4"/>
    <w:rsid w:val="007D546A"/>
    <w:rsid w:val="007D606D"/>
    <w:rsid w:val="007D68EA"/>
    <w:rsid w:val="007D6E5F"/>
    <w:rsid w:val="007D7BD7"/>
    <w:rsid w:val="007E0530"/>
    <w:rsid w:val="007E188F"/>
    <w:rsid w:val="007E21D4"/>
    <w:rsid w:val="007E2741"/>
    <w:rsid w:val="007E4195"/>
    <w:rsid w:val="007E4637"/>
    <w:rsid w:val="007E6769"/>
    <w:rsid w:val="007E75F3"/>
    <w:rsid w:val="007E78A4"/>
    <w:rsid w:val="007E7A85"/>
    <w:rsid w:val="007F048E"/>
    <w:rsid w:val="007F07BC"/>
    <w:rsid w:val="007F13B2"/>
    <w:rsid w:val="007F1820"/>
    <w:rsid w:val="007F18A2"/>
    <w:rsid w:val="007F27B4"/>
    <w:rsid w:val="007F34BA"/>
    <w:rsid w:val="007F38C2"/>
    <w:rsid w:val="007F3DB4"/>
    <w:rsid w:val="007F3EFC"/>
    <w:rsid w:val="007F4DD2"/>
    <w:rsid w:val="007F541D"/>
    <w:rsid w:val="007F6803"/>
    <w:rsid w:val="007F7E35"/>
    <w:rsid w:val="00800985"/>
    <w:rsid w:val="00800A18"/>
    <w:rsid w:val="00801A45"/>
    <w:rsid w:val="00801CC1"/>
    <w:rsid w:val="00802AAB"/>
    <w:rsid w:val="008034A0"/>
    <w:rsid w:val="008044AE"/>
    <w:rsid w:val="00805E6B"/>
    <w:rsid w:val="0080640B"/>
    <w:rsid w:val="008071EE"/>
    <w:rsid w:val="00807E63"/>
    <w:rsid w:val="00807E65"/>
    <w:rsid w:val="008113B9"/>
    <w:rsid w:val="0081140E"/>
    <w:rsid w:val="00814C81"/>
    <w:rsid w:val="00815BCF"/>
    <w:rsid w:val="00815CA7"/>
    <w:rsid w:val="008165D9"/>
    <w:rsid w:val="0082007A"/>
    <w:rsid w:val="00820329"/>
    <w:rsid w:val="00821E0D"/>
    <w:rsid w:val="0082301F"/>
    <w:rsid w:val="00823CDE"/>
    <w:rsid w:val="00827BC0"/>
    <w:rsid w:val="0083270D"/>
    <w:rsid w:val="008338C4"/>
    <w:rsid w:val="0083464D"/>
    <w:rsid w:val="008346CA"/>
    <w:rsid w:val="008352E9"/>
    <w:rsid w:val="008359C0"/>
    <w:rsid w:val="00837756"/>
    <w:rsid w:val="00840268"/>
    <w:rsid w:val="00841DF2"/>
    <w:rsid w:val="00841EEF"/>
    <w:rsid w:val="00842139"/>
    <w:rsid w:val="0084222B"/>
    <w:rsid w:val="0084239B"/>
    <w:rsid w:val="00842C13"/>
    <w:rsid w:val="008435B5"/>
    <w:rsid w:val="00843850"/>
    <w:rsid w:val="0084598D"/>
    <w:rsid w:val="0084643F"/>
    <w:rsid w:val="00847DD7"/>
    <w:rsid w:val="00851249"/>
    <w:rsid w:val="00851B9C"/>
    <w:rsid w:val="00852568"/>
    <w:rsid w:val="00852A4C"/>
    <w:rsid w:val="00854674"/>
    <w:rsid w:val="00854929"/>
    <w:rsid w:val="00855B49"/>
    <w:rsid w:val="0085648E"/>
    <w:rsid w:val="00860000"/>
    <w:rsid w:val="008600A6"/>
    <w:rsid w:val="008601CB"/>
    <w:rsid w:val="00862ED2"/>
    <w:rsid w:val="00862F1E"/>
    <w:rsid w:val="00863167"/>
    <w:rsid w:val="0086349E"/>
    <w:rsid w:val="0086358F"/>
    <w:rsid w:val="00864462"/>
    <w:rsid w:val="00866230"/>
    <w:rsid w:val="0086735C"/>
    <w:rsid w:val="00870180"/>
    <w:rsid w:val="00870262"/>
    <w:rsid w:val="00871329"/>
    <w:rsid w:val="0087139C"/>
    <w:rsid w:val="0087364B"/>
    <w:rsid w:val="00873917"/>
    <w:rsid w:val="00874383"/>
    <w:rsid w:val="0087450C"/>
    <w:rsid w:val="00874A65"/>
    <w:rsid w:val="008754C8"/>
    <w:rsid w:val="0087648B"/>
    <w:rsid w:val="00876683"/>
    <w:rsid w:val="0087704E"/>
    <w:rsid w:val="00880299"/>
    <w:rsid w:val="008802AA"/>
    <w:rsid w:val="00880BBE"/>
    <w:rsid w:val="0088128B"/>
    <w:rsid w:val="008812C5"/>
    <w:rsid w:val="00881540"/>
    <w:rsid w:val="00882206"/>
    <w:rsid w:val="00882A15"/>
    <w:rsid w:val="008833DD"/>
    <w:rsid w:val="0088351A"/>
    <w:rsid w:val="008840E2"/>
    <w:rsid w:val="00884CF9"/>
    <w:rsid w:val="00884FFB"/>
    <w:rsid w:val="0088797C"/>
    <w:rsid w:val="00887E85"/>
    <w:rsid w:val="00890EE7"/>
    <w:rsid w:val="0089124D"/>
    <w:rsid w:val="00891608"/>
    <w:rsid w:val="008920E8"/>
    <w:rsid w:val="00893B02"/>
    <w:rsid w:val="008943CF"/>
    <w:rsid w:val="00894DEE"/>
    <w:rsid w:val="00894F3D"/>
    <w:rsid w:val="008954BA"/>
    <w:rsid w:val="00895768"/>
    <w:rsid w:val="008A1D3D"/>
    <w:rsid w:val="008A2D98"/>
    <w:rsid w:val="008A3262"/>
    <w:rsid w:val="008A4641"/>
    <w:rsid w:val="008A5A2D"/>
    <w:rsid w:val="008A5FFE"/>
    <w:rsid w:val="008A7505"/>
    <w:rsid w:val="008A7D43"/>
    <w:rsid w:val="008B0145"/>
    <w:rsid w:val="008B086A"/>
    <w:rsid w:val="008B0885"/>
    <w:rsid w:val="008B09DB"/>
    <w:rsid w:val="008B0E75"/>
    <w:rsid w:val="008B1051"/>
    <w:rsid w:val="008B156C"/>
    <w:rsid w:val="008B23A8"/>
    <w:rsid w:val="008B2AA4"/>
    <w:rsid w:val="008B2D71"/>
    <w:rsid w:val="008B34FF"/>
    <w:rsid w:val="008B4579"/>
    <w:rsid w:val="008B45BD"/>
    <w:rsid w:val="008B51DC"/>
    <w:rsid w:val="008B6C1E"/>
    <w:rsid w:val="008C0A79"/>
    <w:rsid w:val="008C2B29"/>
    <w:rsid w:val="008C38DA"/>
    <w:rsid w:val="008C39ED"/>
    <w:rsid w:val="008C3C4A"/>
    <w:rsid w:val="008C3CB3"/>
    <w:rsid w:val="008C50D0"/>
    <w:rsid w:val="008C630C"/>
    <w:rsid w:val="008C6331"/>
    <w:rsid w:val="008C6750"/>
    <w:rsid w:val="008C6886"/>
    <w:rsid w:val="008C6C2B"/>
    <w:rsid w:val="008C6C46"/>
    <w:rsid w:val="008C7B99"/>
    <w:rsid w:val="008D165B"/>
    <w:rsid w:val="008D1D8C"/>
    <w:rsid w:val="008D32B1"/>
    <w:rsid w:val="008D5777"/>
    <w:rsid w:val="008D5D90"/>
    <w:rsid w:val="008D62A1"/>
    <w:rsid w:val="008D6E17"/>
    <w:rsid w:val="008D72D4"/>
    <w:rsid w:val="008D79A5"/>
    <w:rsid w:val="008E03B5"/>
    <w:rsid w:val="008E0667"/>
    <w:rsid w:val="008E3023"/>
    <w:rsid w:val="008E33CA"/>
    <w:rsid w:val="008E4176"/>
    <w:rsid w:val="008E52DE"/>
    <w:rsid w:val="008E6BDE"/>
    <w:rsid w:val="008E7664"/>
    <w:rsid w:val="008E7987"/>
    <w:rsid w:val="008F0DAA"/>
    <w:rsid w:val="008F202E"/>
    <w:rsid w:val="008F2764"/>
    <w:rsid w:val="008F2CD8"/>
    <w:rsid w:val="008F2E80"/>
    <w:rsid w:val="008F3DD2"/>
    <w:rsid w:val="008F435C"/>
    <w:rsid w:val="008F5879"/>
    <w:rsid w:val="008F6026"/>
    <w:rsid w:val="008F6B69"/>
    <w:rsid w:val="008F7301"/>
    <w:rsid w:val="008F7C0E"/>
    <w:rsid w:val="009033B2"/>
    <w:rsid w:val="00905073"/>
    <w:rsid w:val="0090533E"/>
    <w:rsid w:val="00905A18"/>
    <w:rsid w:val="009070AF"/>
    <w:rsid w:val="0090757F"/>
    <w:rsid w:val="0090790A"/>
    <w:rsid w:val="00910C5C"/>
    <w:rsid w:val="00910CA8"/>
    <w:rsid w:val="009111A8"/>
    <w:rsid w:val="00911F34"/>
    <w:rsid w:val="009125DE"/>
    <w:rsid w:val="00913701"/>
    <w:rsid w:val="009146AE"/>
    <w:rsid w:val="00915927"/>
    <w:rsid w:val="00915F05"/>
    <w:rsid w:val="00916F37"/>
    <w:rsid w:val="0091708F"/>
    <w:rsid w:val="009203C4"/>
    <w:rsid w:val="00920E2E"/>
    <w:rsid w:val="0092152D"/>
    <w:rsid w:val="00922564"/>
    <w:rsid w:val="00922BA6"/>
    <w:rsid w:val="0092339A"/>
    <w:rsid w:val="009234B6"/>
    <w:rsid w:val="009237D2"/>
    <w:rsid w:val="009244FC"/>
    <w:rsid w:val="00924C89"/>
    <w:rsid w:val="00924DF9"/>
    <w:rsid w:val="009259CB"/>
    <w:rsid w:val="009267D6"/>
    <w:rsid w:val="00926EEE"/>
    <w:rsid w:val="0093134C"/>
    <w:rsid w:val="0093259A"/>
    <w:rsid w:val="00932DAA"/>
    <w:rsid w:val="00934B42"/>
    <w:rsid w:val="009353B5"/>
    <w:rsid w:val="0093620D"/>
    <w:rsid w:val="009372FD"/>
    <w:rsid w:val="0094234F"/>
    <w:rsid w:val="0094417B"/>
    <w:rsid w:val="00944ECE"/>
    <w:rsid w:val="009461CE"/>
    <w:rsid w:val="00946312"/>
    <w:rsid w:val="00946A76"/>
    <w:rsid w:val="00946C63"/>
    <w:rsid w:val="00950FE5"/>
    <w:rsid w:val="00951665"/>
    <w:rsid w:val="00951B14"/>
    <w:rsid w:val="00955361"/>
    <w:rsid w:val="00957043"/>
    <w:rsid w:val="00957975"/>
    <w:rsid w:val="00957AD1"/>
    <w:rsid w:val="00960FD7"/>
    <w:rsid w:val="00961530"/>
    <w:rsid w:val="00961D56"/>
    <w:rsid w:val="00961D78"/>
    <w:rsid w:val="00961F5F"/>
    <w:rsid w:val="009622A3"/>
    <w:rsid w:val="00963A6E"/>
    <w:rsid w:val="00964066"/>
    <w:rsid w:val="00964160"/>
    <w:rsid w:val="009642CF"/>
    <w:rsid w:val="00966DCC"/>
    <w:rsid w:val="00966E04"/>
    <w:rsid w:val="00970097"/>
    <w:rsid w:val="00970D60"/>
    <w:rsid w:val="00972006"/>
    <w:rsid w:val="00972253"/>
    <w:rsid w:val="00972B38"/>
    <w:rsid w:val="00972EDE"/>
    <w:rsid w:val="00972FED"/>
    <w:rsid w:val="00973233"/>
    <w:rsid w:val="00973593"/>
    <w:rsid w:val="00973901"/>
    <w:rsid w:val="009749F1"/>
    <w:rsid w:val="009754DF"/>
    <w:rsid w:val="00975BA6"/>
    <w:rsid w:val="00977937"/>
    <w:rsid w:val="009802F2"/>
    <w:rsid w:val="0098053A"/>
    <w:rsid w:val="00981773"/>
    <w:rsid w:val="00981BB4"/>
    <w:rsid w:val="00981D8B"/>
    <w:rsid w:val="00982F7A"/>
    <w:rsid w:val="00983302"/>
    <w:rsid w:val="009839A7"/>
    <w:rsid w:val="00984674"/>
    <w:rsid w:val="009847EC"/>
    <w:rsid w:val="0098487F"/>
    <w:rsid w:val="00985E8C"/>
    <w:rsid w:val="0098624A"/>
    <w:rsid w:val="009868BE"/>
    <w:rsid w:val="00986ABC"/>
    <w:rsid w:val="00987442"/>
    <w:rsid w:val="00997FA5"/>
    <w:rsid w:val="00997FB1"/>
    <w:rsid w:val="009A0F31"/>
    <w:rsid w:val="009A2C56"/>
    <w:rsid w:val="009A5169"/>
    <w:rsid w:val="009A5FF3"/>
    <w:rsid w:val="009A6B9A"/>
    <w:rsid w:val="009A73E8"/>
    <w:rsid w:val="009B0251"/>
    <w:rsid w:val="009B0F15"/>
    <w:rsid w:val="009B1249"/>
    <w:rsid w:val="009B166C"/>
    <w:rsid w:val="009B16CC"/>
    <w:rsid w:val="009B1AF6"/>
    <w:rsid w:val="009B1DD2"/>
    <w:rsid w:val="009B2610"/>
    <w:rsid w:val="009B5282"/>
    <w:rsid w:val="009B5EB5"/>
    <w:rsid w:val="009B6B71"/>
    <w:rsid w:val="009C04F1"/>
    <w:rsid w:val="009C2659"/>
    <w:rsid w:val="009C356C"/>
    <w:rsid w:val="009C3CEB"/>
    <w:rsid w:val="009C432E"/>
    <w:rsid w:val="009C4367"/>
    <w:rsid w:val="009C4CB3"/>
    <w:rsid w:val="009C4CDD"/>
    <w:rsid w:val="009C589E"/>
    <w:rsid w:val="009C5F0A"/>
    <w:rsid w:val="009C7CB8"/>
    <w:rsid w:val="009D0F70"/>
    <w:rsid w:val="009D0FF8"/>
    <w:rsid w:val="009D15DE"/>
    <w:rsid w:val="009D17AA"/>
    <w:rsid w:val="009D1B2F"/>
    <w:rsid w:val="009D1D0C"/>
    <w:rsid w:val="009D1F8C"/>
    <w:rsid w:val="009D259B"/>
    <w:rsid w:val="009D2655"/>
    <w:rsid w:val="009D30FC"/>
    <w:rsid w:val="009D4121"/>
    <w:rsid w:val="009D5089"/>
    <w:rsid w:val="009D68A5"/>
    <w:rsid w:val="009D6EB0"/>
    <w:rsid w:val="009D7492"/>
    <w:rsid w:val="009E08F3"/>
    <w:rsid w:val="009E0B83"/>
    <w:rsid w:val="009E1519"/>
    <w:rsid w:val="009E275E"/>
    <w:rsid w:val="009E2F1C"/>
    <w:rsid w:val="009E33C6"/>
    <w:rsid w:val="009E451B"/>
    <w:rsid w:val="009E49E2"/>
    <w:rsid w:val="009E4F03"/>
    <w:rsid w:val="009E5DBC"/>
    <w:rsid w:val="009F0A9E"/>
    <w:rsid w:val="009F0AD4"/>
    <w:rsid w:val="009F0CF8"/>
    <w:rsid w:val="009F11A7"/>
    <w:rsid w:val="009F245D"/>
    <w:rsid w:val="009F2909"/>
    <w:rsid w:val="009F2C27"/>
    <w:rsid w:val="009F37DF"/>
    <w:rsid w:val="009F4643"/>
    <w:rsid w:val="009F5C20"/>
    <w:rsid w:val="00A002BE"/>
    <w:rsid w:val="00A01DE6"/>
    <w:rsid w:val="00A02233"/>
    <w:rsid w:val="00A058D8"/>
    <w:rsid w:val="00A05B75"/>
    <w:rsid w:val="00A065D5"/>
    <w:rsid w:val="00A100A6"/>
    <w:rsid w:val="00A1025A"/>
    <w:rsid w:val="00A1074F"/>
    <w:rsid w:val="00A108CF"/>
    <w:rsid w:val="00A120B5"/>
    <w:rsid w:val="00A13FDC"/>
    <w:rsid w:val="00A14BD1"/>
    <w:rsid w:val="00A15C7D"/>
    <w:rsid w:val="00A15EE2"/>
    <w:rsid w:val="00A1655A"/>
    <w:rsid w:val="00A16C27"/>
    <w:rsid w:val="00A20BC8"/>
    <w:rsid w:val="00A20F94"/>
    <w:rsid w:val="00A2161A"/>
    <w:rsid w:val="00A23500"/>
    <w:rsid w:val="00A25A63"/>
    <w:rsid w:val="00A270B5"/>
    <w:rsid w:val="00A27311"/>
    <w:rsid w:val="00A27411"/>
    <w:rsid w:val="00A30920"/>
    <w:rsid w:val="00A31123"/>
    <w:rsid w:val="00A32D89"/>
    <w:rsid w:val="00A330F4"/>
    <w:rsid w:val="00A351D0"/>
    <w:rsid w:val="00A35433"/>
    <w:rsid w:val="00A3720E"/>
    <w:rsid w:val="00A372E1"/>
    <w:rsid w:val="00A37C78"/>
    <w:rsid w:val="00A40D94"/>
    <w:rsid w:val="00A45BB8"/>
    <w:rsid w:val="00A4640A"/>
    <w:rsid w:val="00A46AF2"/>
    <w:rsid w:val="00A46D1F"/>
    <w:rsid w:val="00A46F44"/>
    <w:rsid w:val="00A474CE"/>
    <w:rsid w:val="00A5084F"/>
    <w:rsid w:val="00A51738"/>
    <w:rsid w:val="00A519A7"/>
    <w:rsid w:val="00A526BE"/>
    <w:rsid w:val="00A533CA"/>
    <w:rsid w:val="00A538A8"/>
    <w:rsid w:val="00A54B56"/>
    <w:rsid w:val="00A54C7D"/>
    <w:rsid w:val="00A54EFB"/>
    <w:rsid w:val="00A5537B"/>
    <w:rsid w:val="00A554A7"/>
    <w:rsid w:val="00A55A6B"/>
    <w:rsid w:val="00A578C7"/>
    <w:rsid w:val="00A57A9D"/>
    <w:rsid w:val="00A604A9"/>
    <w:rsid w:val="00A626E6"/>
    <w:rsid w:val="00A63271"/>
    <w:rsid w:val="00A63807"/>
    <w:rsid w:val="00A63A25"/>
    <w:rsid w:val="00A649DE"/>
    <w:rsid w:val="00A6585C"/>
    <w:rsid w:val="00A66D3D"/>
    <w:rsid w:val="00A66F2C"/>
    <w:rsid w:val="00A6764B"/>
    <w:rsid w:val="00A705FD"/>
    <w:rsid w:val="00A72C4D"/>
    <w:rsid w:val="00A7314D"/>
    <w:rsid w:val="00A74E33"/>
    <w:rsid w:val="00A754A0"/>
    <w:rsid w:val="00A757E6"/>
    <w:rsid w:val="00A75C11"/>
    <w:rsid w:val="00A83BC6"/>
    <w:rsid w:val="00A83E34"/>
    <w:rsid w:val="00A841D5"/>
    <w:rsid w:val="00A84376"/>
    <w:rsid w:val="00A84E11"/>
    <w:rsid w:val="00A85D31"/>
    <w:rsid w:val="00A864DE"/>
    <w:rsid w:val="00A86DC5"/>
    <w:rsid w:val="00A912B4"/>
    <w:rsid w:val="00A92177"/>
    <w:rsid w:val="00A9226E"/>
    <w:rsid w:val="00A9381D"/>
    <w:rsid w:val="00A9590A"/>
    <w:rsid w:val="00A95A72"/>
    <w:rsid w:val="00A95E3D"/>
    <w:rsid w:val="00A97C67"/>
    <w:rsid w:val="00A97F92"/>
    <w:rsid w:val="00AA0175"/>
    <w:rsid w:val="00AA0236"/>
    <w:rsid w:val="00AA0AFF"/>
    <w:rsid w:val="00AA0CA6"/>
    <w:rsid w:val="00AA10BC"/>
    <w:rsid w:val="00AA19B1"/>
    <w:rsid w:val="00AA2C11"/>
    <w:rsid w:val="00AA5C72"/>
    <w:rsid w:val="00AA62FD"/>
    <w:rsid w:val="00AA6637"/>
    <w:rsid w:val="00AA7FD3"/>
    <w:rsid w:val="00AB0D9A"/>
    <w:rsid w:val="00AB0F0C"/>
    <w:rsid w:val="00AB2F25"/>
    <w:rsid w:val="00AB678E"/>
    <w:rsid w:val="00AC0029"/>
    <w:rsid w:val="00AC13FE"/>
    <w:rsid w:val="00AC193B"/>
    <w:rsid w:val="00AC1F7B"/>
    <w:rsid w:val="00AC32CC"/>
    <w:rsid w:val="00AC3778"/>
    <w:rsid w:val="00AC401E"/>
    <w:rsid w:val="00AC555A"/>
    <w:rsid w:val="00AC57E3"/>
    <w:rsid w:val="00AC5A42"/>
    <w:rsid w:val="00AC7202"/>
    <w:rsid w:val="00AC7571"/>
    <w:rsid w:val="00AD05D3"/>
    <w:rsid w:val="00AD1329"/>
    <w:rsid w:val="00AD1D6F"/>
    <w:rsid w:val="00AD3718"/>
    <w:rsid w:val="00AD484B"/>
    <w:rsid w:val="00AD5B7B"/>
    <w:rsid w:val="00AD607C"/>
    <w:rsid w:val="00AD6862"/>
    <w:rsid w:val="00AD6E72"/>
    <w:rsid w:val="00AD7897"/>
    <w:rsid w:val="00AE0A42"/>
    <w:rsid w:val="00AE1174"/>
    <w:rsid w:val="00AE1C40"/>
    <w:rsid w:val="00AE3115"/>
    <w:rsid w:val="00AE6177"/>
    <w:rsid w:val="00AE781B"/>
    <w:rsid w:val="00AF1D4A"/>
    <w:rsid w:val="00AF3064"/>
    <w:rsid w:val="00AF32B1"/>
    <w:rsid w:val="00AF34DB"/>
    <w:rsid w:val="00AF3662"/>
    <w:rsid w:val="00AF3778"/>
    <w:rsid w:val="00AF3B73"/>
    <w:rsid w:val="00AF4193"/>
    <w:rsid w:val="00AF4F80"/>
    <w:rsid w:val="00AF7350"/>
    <w:rsid w:val="00AF7CEF"/>
    <w:rsid w:val="00B001B9"/>
    <w:rsid w:val="00B01987"/>
    <w:rsid w:val="00B029C6"/>
    <w:rsid w:val="00B02AC6"/>
    <w:rsid w:val="00B035EB"/>
    <w:rsid w:val="00B04473"/>
    <w:rsid w:val="00B05202"/>
    <w:rsid w:val="00B05A8F"/>
    <w:rsid w:val="00B06BE6"/>
    <w:rsid w:val="00B0782C"/>
    <w:rsid w:val="00B07E8F"/>
    <w:rsid w:val="00B07EA5"/>
    <w:rsid w:val="00B1015F"/>
    <w:rsid w:val="00B12D35"/>
    <w:rsid w:val="00B14AE5"/>
    <w:rsid w:val="00B14D5F"/>
    <w:rsid w:val="00B159A2"/>
    <w:rsid w:val="00B169A5"/>
    <w:rsid w:val="00B17898"/>
    <w:rsid w:val="00B17D86"/>
    <w:rsid w:val="00B20B6C"/>
    <w:rsid w:val="00B20D09"/>
    <w:rsid w:val="00B2136C"/>
    <w:rsid w:val="00B218B6"/>
    <w:rsid w:val="00B21B78"/>
    <w:rsid w:val="00B22B50"/>
    <w:rsid w:val="00B24E54"/>
    <w:rsid w:val="00B257E2"/>
    <w:rsid w:val="00B25BA3"/>
    <w:rsid w:val="00B262D3"/>
    <w:rsid w:val="00B26738"/>
    <w:rsid w:val="00B26E7C"/>
    <w:rsid w:val="00B276CA"/>
    <w:rsid w:val="00B3019D"/>
    <w:rsid w:val="00B30E22"/>
    <w:rsid w:val="00B30FC2"/>
    <w:rsid w:val="00B3165F"/>
    <w:rsid w:val="00B32409"/>
    <w:rsid w:val="00B3305C"/>
    <w:rsid w:val="00B350EB"/>
    <w:rsid w:val="00B35330"/>
    <w:rsid w:val="00B35510"/>
    <w:rsid w:val="00B35C45"/>
    <w:rsid w:val="00B372BF"/>
    <w:rsid w:val="00B379CC"/>
    <w:rsid w:val="00B402D9"/>
    <w:rsid w:val="00B4070D"/>
    <w:rsid w:val="00B4136F"/>
    <w:rsid w:val="00B42108"/>
    <w:rsid w:val="00B4237B"/>
    <w:rsid w:val="00B43B6F"/>
    <w:rsid w:val="00B44588"/>
    <w:rsid w:val="00B44658"/>
    <w:rsid w:val="00B44FFB"/>
    <w:rsid w:val="00B45C8B"/>
    <w:rsid w:val="00B45CDB"/>
    <w:rsid w:val="00B508D3"/>
    <w:rsid w:val="00B539CF"/>
    <w:rsid w:val="00B550F7"/>
    <w:rsid w:val="00B55605"/>
    <w:rsid w:val="00B5622B"/>
    <w:rsid w:val="00B56544"/>
    <w:rsid w:val="00B56BCD"/>
    <w:rsid w:val="00B5721E"/>
    <w:rsid w:val="00B57450"/>
    <w:rsid w:val="00B57D08"/>
    <w:rsid w:val="00B61AAD"/>
    <w:rsid w:val="00B61F8F"/>
    <w:rsid w:val="00B64D33"/>
    <w:rsid w:val="00B64E5C"/>
    <w:rsid w:val="00B6505D"/>
    <w:rsid w:val="00B65614"/>
    <w:rsid w:val="00B65945"/>
    <w:rsid w:val="00B661C3"/>
    <w:rsid w:val="00B70DBB"/>
    <w:rsid w:val="00B71CFF"/>
    <w:rsid w:val="00B71D09"/>
    <w:rsid w:val="00B72673"/>
    <w:rsid w:val="00B72904"/>
    <w:rsid w:val="00B72B83"/>
    <w:rsid w:val="00B72E8C"/>
    <w:rsid w:val="00B74B76"/>
    <w:rsid w:val="00B80E92"/>
    <w:rsid w:val="00B835BC"/>
    <w:rsid w:val="00B84242"/>
    <w:rsid w:val="00B84856"/>
    <w:rsid w:val="00B85952"/>
    <w:rsid w:val="00B85A7D"/>
    <w:rsid w:val="00B85DFB"/>
    <w:rsid w:val="00B85F5E"/>
    <w:rsid w:val="00B86174"/>
    <w:rsid w:val="00B87852"/>
    <w:rsid w:val="00B87EFE"/>
    <w:rsid w:val="00B90AFE"/>
    <w:rsid w:val="00B913B3"/>
    <w:rsid w:val="00B92105"/>
    <w:rsid w:val="00B940D3"/>
    <w:rsid w:val="00B942FF"/>
    <w:rsid w:val="00B94C81"/>
    <w:rsid w:val="00B95EE4"/>
    <w:rsid w:val="00B9679A"/>
    <w:rsid w:val="00B971F8"/>
    <w:rsid w:val="00B97B38"/>
    <w:rsid w:val="00BA430F"/>
    <w:rsid w:val="00BA48AE"/>
    <w:rsid w:val="00BA5AB3"/>
    <w:rsid w:val="00BA6E7D"/>
    <w:rsid w:val="00BB2C44"/>
    <w:rsid w:val="00BB2E1B"/>
    <w:rsid w:val="00BB33C8"/>
    <w:rsid w:val="00BB3F0A"/>
    <w:rsid w:val="00BB4C11"/>
    <w:rsid w:val="00BB4F14"/>
    <w:rsid w:val="00BB6D2B"/>
    <w:rsid w:val="00BB6E25"/>
    <w:rsid w:val="00BB74BE"/>
    <w:rsid w:val="00BB7567"/>
    <w:rsid w:val="00BB766E"/>
    <w:rsid w:val="00BC03F2"/>
    <w:rsid w:val="00BC0599"/>
    <w:rsid w:val="00BC0C14"/>
    <w:rsid w:val="00BC1EE1"/>
    <w:rsid w:val="00BC2275"/>
    <w:rsid w:val="00BC297B"/>
    <w:rsid w:val="00BC5605"/>
    <w:rsid w:val="00BC57C1"/>
    <w:rsid w:val="00BC5CC5"/>
    <w:rsid w:val="00BC6FBD"/>
    <w:rsid w:val="00BC7F1A"/>
    <w:rsid w:val="00BD0BE6"/>
    <w:rsid w:val="00BD1565"/>
    <w:rsid w:val="00BD1B76"/>
    <w:rsid w:val="00BD1EDD"/>
    <w:rsid w:val="00BD481E"/>
    <w:rsid w:val="00BD4C66"/>
    <w:rsid w:val="00BD4E9E"/>
    <w:rsid w:val="00BD58D0"/>
    <w:rsid w:val="00BD5907"/>
    <w:rsid w:val="00BD73FE"/>
    <w:rsid w:val="00BD7568"/>
    <w:rsid w:val="00BE17DE"/>
    <w:rsid w:val="00BE18B6"/>
    <w:rsid w:val="00BE1BAC"/>
    <w:rsid w:val="00BE20F8"/>
    <w:rsid w:val="00BE210E"/>
    <w:rsid w:val="00BE22A5"/>
    <w:rsid w:val="00BE2ADE"/>
    <w:rsid w:val="00BE3E2A"/>
    <w:rsid w:val="00BE49AB"/>
    <w:rsid w:val="00BE563E"/>
    <w:rsid w:val="00BE5BC3"/>
    <w:rsid w:val="00BE5E8A"/>
    <w:rsid w:val="00BE65A3"/>
    <w:rsid w:val="00BE77FF"/>
    <w:rsid w:val="00BF1824"/>
    <w:rsid w:val="00BF3859"/>
    <w:rsid w:val="00BF4ECB"/>
    <w:rsid w:val="00BF5144"/>
    <w:rsid w:val="00BF59BC"/>
    <w:rsid w:val="00BF6945"/>
    <w:rsid w:val="00BF6D21"/>
    <w:rsid w:val="00BF717B"/>
    <w:rsid w:val="00BF7A0A"/>
    <w:rsid w:val="00C0034C"/>
    <w:rsid w:val="00C0049A"/>
    <w:rsid w:val="00C02078"/>
    <w:rsid w:val="00C037E0"/>
    <w:rsid w:val="00C050D6"/>
    <w:rsid w:val="00C05530"/>
    <w:rsid w:val="00C057F4"/>
    <w:rsid w:val="00C077E0"/>
    <w:rsid w:val="00C10955"/>
    <w:rsid w:val="00C143C6"/>
    <w:rsid w:val="00C155EB"/>
    <w:rsid w:val="00C1599F"/>
    <w:rsid w:val="00C15C33"/>
    <w:rsid w:val="00C15D9A"/>
    <w:rsid w:val="00C16371"/>
    <w:rsid w:val="00C20AA3"/>
    <w:rsid w:val="00C22A13"/>
    <w:rsid w:val="00C22B72"/>
    <w:rsid w:val="00C22F94"/>
    <w:rsid w:val="00C25A8D"/>
    <w:rsid w:val="00C25DCC"/>
    <w:rsid w:val="00C26070"/>
    <w:rsid w:val="00C26ECF"/>
    <w:rsid w:val="00C27959"/>
    <w:rsid w:val="00C30421"/>
    <w:rsid w:val="00C30FCE"/>
    <w:rsid w:val="00C3131D"/>
    <w:rsid w:val="00C31559"/>
    <w:rsid w:val="00C31D56"/>
    <w:rsid w:val="00C31DCC"/>
    <w:rsid w:val="00C32607"/>
    <w:rsid w:val="00C33581"/>
    <w:rsid w:val="00C34B07"/>
    <w:rsid w:val="00C34E50"/>
    <w:rsid w:val="00C35F63"/>
    <w:rsid w:val="00C3655E"/>
    <w:rsid w:val="00C371F7"/>
    <w:rsid w:val="00C379DD"/>
    <w:rsid w:val="00C40376"/>
    <w:rsid w:val="00C405A7"/>
    <w:rsid w:val="00C40CEC"/>
    <w:rsid w:val="00C42A88"/>
    <w:rsid w:val="00C42D71"/>
    <w:rsid w:val="00C430FE"/>
    <w:rsid w:val="00C43688"/>
    <w:rsid w:val="00C4468C"/>
    <w:rsid w:val="00C44A74"/>
    <w:rsid w:val="00C46324"/>
    <w:rsid w:val="00C4678F"/>
    <w:rsid w:val="00C46E10"/>
    <w:rsid w:val="00C47228"/>
    <w:rsid w:val="00C506A0"/>
    <w:rsid w:val="00C51C15"/>
    <w:rsid w:val="00C51DE8"/>
    <w:rsid w:val="00C51E1A"/>
    <w:rsid w:val="00C52578"/>
    <w:rsid w:val="00C52DF7"/>
    <w:rsid w:val="00C5305A"/>
    <w:rsid w:val="00C53105"/>
    <w:rsid w:val="00C55A0A"/>
    <w:rsid w:val="00C55D08"/>
    <w:rsid w:val="00C56946"/>
    <w:rsid w:val="00C57099"/>
    <w:rsid w:val="00C57FBA"/>
    <w:rsid w:val="00C63B70"/>
    <w:rsid w:val="00C640EC"/>
    <w:rsid w:val="00C65A57"/>
    <w:rsid w:val="00C6648D"/>
    <w:rsid w:val="00C66BA8"/>
    <w:rsid w:val="00C66D10"/>
    <w:rsid w:val="00C67040"/>
    <w:rsid w:val="00C6773C"/>
    <w:rsid w:val="00C67F01"/>
    <w:rsid w:val="00C700B3"/>
    <w:rsid w:val="00C70282"/>
    <w:rsid w:val="00C714E8"/>
    <w:rsid w:val="00C71754"/>
    <w:rsid w:val="00C7199A"/>
    <w:rsid w:val="00C7240C"/>
    <w:rsid w:val="00C72867"/>
    <w:rsid w:val="00C729B8"/>
    <w:rsid w:val="00C72C8B"/>
    <w:rsid w:val="00C731FB"/>
    <w:rsid w:val="00C74DD7"/>
    <w:rsid w:val="00C757D8"/>
    <w:rsid w:val="00C76021"/>
    <w:rsid w:val="00C76DEE"/>
    <w:rsid w:val="00C80C75"/>
    <w:rsid w:val="00C8190F"/>
    <w:rsid w:val="00C82EA2"/>
    <w:rsid w:val="00C83CBC"/>
    <w:rsid w:val="00C84933"/>
    <w:rsid w:val="00C86681"/>
    <w:rsid w:val="00C867E6"/>
    <w:rsid w:val="00C867E7"/>
    <w:rsid w:val="00C86BFE"/>
    <w:rsid w:val="00C86DD9"/>
    <w:rsid w:val="00C86EBE"/>
    <w:rsid w:val="00C87BEA"/>
    <w:rsid w:val="00C87D83"/>
    <w:rsid w:val="00C87F41"/>
    <w:rsid w:val="00C90804"/>
    <w:rsid w:val="00C923D9"/>
    <w:rsid w:val="00C92713"/>
    <w:rsid w:val="00C9386F"/>
    <w:rsid w:val="00C94CED"/>
    <w:rsid w:val="00C9576F"/>
    <w:rsid w:val="00C96BFB"/>
    <w:rsid w:val="00C97793"/>
    <w:rsid w:val="00C97FB6"/>
    <w:rsid w:val="00CA13A9"/>
    <w:rsid w:val="00CA24EE"/>
    <w:rsid w:val="00CA282D"/>
    <w:rsid w:val="00CA2CDC"/>
    <w:rsid w:val="00CA3A5E"/>
    <w:rsid w:val="00CA3AD9"/>
    <w:rsid w:val="00CA4C59"/>
    <w:rsid w:val="00CA5E57"/>
    <w:rsid w:val="00CA77D2"/>
    <w:rsid w:val="00CB00E2"/>
    <w:rsid w:val="00CB09FE"/>
    <w:rsid w:val="00CB0B07"/>
    <w:rsid w:val="00CB298F"/>
    <w:rsid w:val="00CB2A08"/>
    <w:rsid w:val="00CB2E9A"/>
    <w:rsid w:val="00CB2FF7"/>
    <w:rsid w:val="00CB37EC"/>
    <w:rsid w:val="00CB4485"/>
    <w:rsid w:val="00CB569C"/>
    <w:rsid w:val="00CB6654"/>
    <w:rsid w:val="00CB6B8D"/>
    <w:rsid w:val="00CB7C3A"/>
    <w:rsid w:val="00CC0440"/>
    <w:rsid w:val="00CC3D20"/>
    <w:rsid w:val="00CC3F44"/>
    <w:rsid w:val="00CC4AA0"/>
    <w:rsid w:val="00CC501F"/>
    <w:rsid w:val="00CC5898"/>
    <w:rsid w:val="00CC7654"/>
    <w:rsid w:val="00CC7B6F"/>
    <w:rsid w:val="00CC7BA0"/>
    <w:rsid w:val="00CD0771"/>
    <w:rsid w:val="00CD0BF8"/>
    <w:rsid w:val="00CD361E"/>
    <w:rsid w:val="00CD47B5"/>
    <w:rsid w:val="00CD47DA"/>
    <w:rsid w:val="00CD5732"/>
    <w:rsid w:val="00CD7208"/>
    <w:rsid w:val="00CE0758"/>
    <w:rsid w:val="00CE0DD9"/>
    <w:rsid w:val="00CE0E58"/>
    <w:rsid w:val="00CE15B8"/>
    <w:rsid w:val="00CE25C3"/>
    <w:rsid w:val="00CE3320"/>
    <w:rsid w:val="00CE367B"/>
    <w:rsid w:val="00CE3988"/>
    <w:rsid w:val="00CE466A"/>
    <w:rsid w:val="00CE46E5"/>
    <w:rsid w:val="00CE6BF3"/>
    <w:rsid w:val="00CE7991"/>
    <w:rsid w:val="00CE7E9C"/>
    <w:rsid w:val="00CE7F5A"/>
    <w:rsid w:val="00CF0C8B"/>
    <w:rsid w:val="00CF5888"/>
    <w:rsid w:val="00CF5AE5"/>
    <w:rsid w:val="00CF6F30"/>
    <w:rsid w:val="00CF77CA"/>
    <w:rsid w:val="00CF7F66"/>
    <w:rsid w:val="00D016EF"/>
    <w:rsid w:val="00D03D9E"/>
    <w:rsid w:val="00D06351"/>
    <w:rsid w:val="00D064C9"/>
    <w:rsid w:val="00D068D2"/>
    <w:rsid w:val="00D0698C"/>
    <w:rsid w:val="00D1092F"/>
    <w:rsid w:val="00D120BA"/>
    <w:rsid w:val="00D16BCE"/>
    <w:rsid w:val="00D17A21"/>
    <w:rsid w:val="00D204D5"/>
    <w:rsid w:val="00D21430"/>
    <w:rsid w:val="00D2315C"/>
    <w:rsid w:val="00D242A4"/>
    <w:rsid w:val="00D248DF"/>
    <w:rsid w:val="00D25897"/>
    <w:rsid w:val="00D25BFB"/>
    <w:rsid w:val="00D25D80"/>
    <w:rsid w:val="00D25E7D"/>
    <w:rsid w:val="00D275B5"/>
    <w:rsid w:val="00D276B3"/>
    <w:rsid w:val="00D278EE"/>
    <w:rsid w:val="00D30CAE"/>
    <w:rsid w:val="00D31A7F"/>
    <w:rsid w:val="00D31D07"/>
    <w:rsid w:val="00D32503"/>
    <w:rsid w:val="00D359C8"/>
    <w:rsid w:val="00D35C5F"/>
    <w:rsid w:val="00D35E5F"/>
    <w:rsid w:val="00D4111B"/>
    <w:rsid w:val="00D42099"/>
    <w:rsid w:val="00D43791"/>
    <w:rsid w:val="00D446A3"/>
    <w:rsid w:val="00D45BFC"/>
    <w:rsid w:val="00D46771"/>
    <w:rsid w:val="00D46DCE"/>
    <w:rsid w:val="00D4797B"/>
    <w:rsid w:val="00D501F0"/>
    <w:rsid w:val="00D503DA"/>
    <w:rsid w:val="00D506EB"/>
    <w:rsid w:val="00D50C3F"/>
    <w:rsid w:val="00D52798"/>
    <w:rsid w:val="00D53650"/>
    <w:rsid w:val="00D5413F"/>
    <w:rsid w:val="00D54A46"/>
    <w:rsid w:val="00D551A4"/>
    <w:rsid w:val="00D557B9"/>
    <w:rsid w:val="00D56337"/>
    <w:rsid w:val="00D57372"/>
    <w:rsid w:val="00D579AF"/>
    <w:rsid w:val="00D613B9"/>
    <w:rsid w:val="00D63630"/>
    <w:rsid w:val="00D67085"/>
    <w:rsid w:val="00D706C3"/>
    <w:rsid w:val="00D70B11"/>
    <w:rsid w:val="00D71B4C"/>
    <w:rsid w:val="00D728A4"/>
    <w:rsid w:val="00D7377F"/>
    <w:rsid w:val="00D73F9E"/>
    <w:rsid w:val="00D74C6E"/>
    <w:rsid w:val="00D753FD"/>
    <w:rsid w:val="00D76D9F"/>
    <w:rsid w:val="00D77553"/>
    <w:rsid w:val="00D77CDE"/>
    <w:rsid w:val="00D77DD6"/>
    <w:rsid w:val="00D8154D"/>
    <w:rsid w:val="00D81747"/>
    <w:rsid w:val="00D82BCF"/>
    <w:rsid w:val="00D85154"/>
    <w:rsid w:val="00D85394"/>
    <w:rsid w:val="00D8617A"/>
    <w:rsid w:val="00D86A86"/>
    <w:rsid w:val="00D86CEB"/>
    <w:rsid w:val="00D86DF3"/>
    <w:rsid w:val="00D87F2F"/>
    <w:rsid w:val="00D902F6"/>
    <w:rsid w:val="00D92147"/>
    <w:rsid w:val="00D92D9D"/>
    <w:rsid w:val="00D940B1"/>
    <w:rsid w:val="00D955A8"/>
    <w:rsid w:val="00D95B86"/>
    <w:rsid w:val="00D95B9D"/>
    <w:rsid w:val="00D964A2"/>
    <w:rsid w:val="00D9697F"/>
    <w:rsid w:val="00D97772"/>
    <w:rsid w:val="00DA2C97"/>
    <w:rsid w:val="00DA509A"/>
    <w:rsid w:val="00DA59FA"/>
    <w:rsid w:val="00DA5CF2"/>
    <w:rsid w:val="00DA6C6C"/>
    <w:rsid w:val="00DA6D80"/>
    <w:rsid w:val="00DA72D4"/>
    <w:rsid w:val="00DB393F"/>
    <w:rsid w:val="00DB3F97"/>
    <w:rsid w:val="00DB45D1"/>
    <w:rsid w:val="00DB46FA"/>
    <w:rsid w:val="00DB4837"/>
    <w:rsid w:val="00DC0B2B"/>
    <w:rsid w:val="00DC106F"/>
    <w:rsid w:val="00DC1517"/>
    <w:rsid w:val="00DC1A9E"/>
    <w:rsid w:val="00DC20A6"/>
    <w:rsid w:val="00DC2418"/>
    <w:rsid w:val="00DC2FD9"/>
    <w:rsid w:val="00DC312B"/>
    <w:rsid w:val="00DC38AB"/>
    <w:rsid w:val="00DC3DD5"/>
    <w:rsid w:val="00DC6963"/>
    <w:rsid w:val="00DC6F1C"/>
    <w:rsid w:val="00DD0B66"/>
    <w:rsid w:val="00DD121B"/>
    <w:rsid w:val="00DD1E5C"/>
    <w:rsid w:val="00DD4714"/>
    <w:rsid w:val="00DD551E"/>
    <w:rsid w:val="00DD5A21"/>
    <w:rsid w:val="00DE00A9"/>
    <w:rsid w:val="00DE0DC6"/>
    <w:rsid w:val="00DE268A"/>
    <w:rsid w:val="00DE30C5"/>
    <w:rsid w:val="00DE5700"/>
    <w:rsid w:val="00DE66EB"/>
    <w:rsid w:val="00DE6F48"/>
    <w:rsid w:val="00DF0157"/>
    <w:rsid w:val="00DF0AA7"/>
    <w:rsid w:val="00DF0DC7"/>
    <w:rsid w:val="00DF1C6C"/>
    <w:rsid w:val="00DF210D"/>
    <w:rsid w:val="00DF3608"/>
    <w:rsid w:val="00DF4C4E"/>
    <w:rsid w:val="00DF58F1"/>
    <w:rsid w:val="00DF5D0E"/>
    <w:rsid w:val="00DF6359"/>
    <w:rsid w:val="00DF63F9"/>
    <w:rsid w:val="00E016BE"/>
    <w:rsid w:val="00E03E1B"/>
    <w:rsid w:val="00E04946"/>
    <w:rsid w:val="00E050A9"/>
    <w:rsid w:val="00E0742C"/>
    <w:rsid w:val="00E0784B"/>
    <w:rsid w:val="00E128AF"/>
    <w:rsid w:val="00E12FA0"/>
    <w:rsid w:val="00E15B2A"/>
    <w:rsid w:val="00E15CA0"/>
    <w:rsid w:val="00E202D6"/>
    <w:rsid w:val="00E20A32"/>
    <w:rsid w:val="00E20E9C"/>
    <w:rsid w:val="00E21936"/>
    <w:rsid w:val="00E23CBD"/>
    <w:rsid w:val="00E2550D"/>
    <w:rsid w:val="00E27430"/>
    <w:rsid w:val="00E27896"/>
    <w:rsid w:val="00E3031A"/>
    <w:rsid w:val="00E3230D"/>
    <w:rsid w:val="00E33A59"/>
    <w:rsid w:val="00E33D66"/>
    <w:rsid w:val="00E35C5D"/>
    <w:rsid w:val="00E364A2"/>
    <w:rsid w:val="00E36907"/>
    <w:rsid w:val="00E37493"/>
    <w:rsid w:val="00E40BEE"/>
    <w:rsid w:val="00E42C9F"/>
    <w:rsid w:val="00E432A6"/>
    <w:rsid w:val="00E43E33"/>
    <w:rsid w:val="00E44CAB"/>
    <w:rsid w:val="00E4552D"/>
    <w:rsid w:val="00E4556A"/>
    <w:rsid w:val="00E45670"/>
    <w:rsid w:val="00E45E83"/>
    <w:rsid w:val="00E46342"/>
    <w:rsid w:val="00E4647F"/>
    <w:rsid w:val="00E4662C"/>
    <w:rsid w:val="00E508E1"/>
    <w:rsid w:val="00E522C7"/>
    <w:rsid w:val="00E52958"/>
    <w:rsid w:val="00E52D33"/>
    <w:rsid w:val="00E53CD4"/>
    <w:rsid w:val="00E53D3C"/>
    <w:rsid w:val="00E54390"/>
    <w:rsid w:val="00E5452C"/>
    <w:rsid w:val="00E54CD8"/>
    <w:rsid w:val="00E559DE"/>
    <w:rsid w:val="00E56C96"/>
    <w:rsid w:val="00E56D00"/>
    <w:rsid w:val="00E571B7"/>
    <w:rsid w:val="00E57BF9"/>
    <w:rsid w:val="00E60D9E"/>
    <w:rsid w:val="00E61FC6"/>
    <w:rsid w:val="00E62BE5"/>
    <w:rsid w:val="00E630D0"/>
    <w:rsid w:val="00E64DA8"/>
    <w:rsid w:val="00E65662"/>
    <w:rsid w:val="00E66107"/>
    <w:rsid w:val="00E66478"/>
    <w:rsid w:val="00E668F1"/>
    <w:rsid w:val="00E70352"/>
    <w:rsid w:val="00E71B40"/>
    <w:rsid w:val="00E71C1B"/>
    <w:rsid w:val="00E71DD2"/>
    <w:rsid w:val="00E724B7"/>
    <w:rsid w:val="00E72F95"/>
    <w:rsid w:val="00E7342A"/>
    <w:rsid w:val="00E76E91"/>
    <w:rsid w:val="00E774F4"/>
    <w:rsid w:val="00E77604"/>
    <w:rsid w:val="00E80233"/>
    <w:rsid w:val="00E80BD1"/>
    <w:rsid w:val="00E81089"/>
    <w:rsid w:val="00E822E4"/>
    <w:rsid w:val="00E835C7"/>
    <w:rsid w:val="00E837AE"/>
    <w:rsid w:val="00E83A7A"/>
    <w:rsid w:val="00E8434B"/>
    <w:rsid w:val="00E85731"/>
    <w:rsid w:val="00E858AD"/>
    <w:rsid w:val="00E85A63"/>
    <w:rsid w:val="00E86E69"/>
    <w:rsid w:val="00E872D3"/>
    <w:rsid w:val="00E878BE"/>
    <w:rsid w:val="00E87B8B"/>
    <w:rsid w:val="00E9008C"/>
    <w:rsid w:val="00E90C26"/>
    <w:rsid w:val="00E913EA"/>
    <w:rsid w:val="00E91432"/>
    <w:rsid w:val="00E91A65"/>
    <w:rsid w:val="00E9475A"/>
    <w:rsid w:val="00E94954"/>
    <w:rsid w:val="00E94EDE"/>
    <w:rsid w:val="00E952F7"/>
    <w:rsid w:val="00E95B46"/>
    <w:rsid w:val="00E962B0"/>
    <w:rsid w:val="00E96853"/>
    <w:rsid w:val="00EA17EC"/>
    <w:rsid w:val="00EA1DEB"/>
    <w:rsid w:val="00EA2BE0"/>
    <w:rsid w:val="00EA331D"/>
    <w:rsid w:val="00EA3C22"/>
    <w:rsid w:val="00EA50B8"/>
    <w:rsid w:val="00EA61B0"/>
    <w:rsid w:val="00EA6EF5"/>
    <w:rsid w:val="00EA7108"/>
    <w:rsid w:val="00EA7D00"/>
    <w:rsid w:val="00EB12DE"/>
    <w:rsid w:val="00EB233A"/>
    <w:rsid w:val="00EB245F"/>
    <w:rsid w:val="00EB3E58"/>
    <w:rsid w:val="00EB6480"/>
    <w:rsid w:val="00EB6B00"/>
    <w:rsid w:val="00EB710B"/>
    <w:rsid w:val="00EC01C9"/>
    <w:rsid w:val="00EC0257"/>
    <w:rsid w:val="00EC03AC"/>
    <w:rsid w:val="00EC0D03"/>
    <w:rsid w:val="00EC162F"/>
    <w:rsid w:val="00EC2113"/>
    <w:rsid w:val="00EC4519"/>
    <w:rsid w:val="00EC4CBB"/>
    <w:rsid w:val="00EC5D53"/>
    <w:rsid w:val="00EC676B"/>
    <w:rsid w:val="00ED2B98"/>
    <w:rsid w:val="00ED4EAE"/>
    <w:rsid w:val="00ED54C9"/>
    <w:rsid w:val="00ED5BD7"/>
    <w:rsid w:val="00ED63CD"/>
    <w:rsid w:val="00ED650B"/>
    <w:rsid w:val="00ED7096"/>
    <w:rsid w:val="00ED7CEE"/>
    <w:rsid w:val="00EE0C7E"/>
    <w:rsid w:val="00EE0D59"/>
    <w:rsid w:val="00EE1023"/>
    <w:rsid w:val="00EE1157"/>
    <w:rsid w:val="00EE1571"/>
    <w:rsid w:val="00EE2876"/>
    <w:rsid w:val="00EE2A50"/>
    <w:rsid w:val="00EE493E"/>
    <w:rsid w:val="00EE5717"/>
    <w:rsid w:val="00EE572A"/>
    <w:rsid w:val="00EF25E6"/>
    <w:rsid w:val="00EF31AA"/>
    <w:rsid w:val="00EF44EE"/>
    <w:rsid w:val="00EF503B"/>
    <w:rsid w:val="00EF5881"/>
    <w:rsid w:val="00EF5C72"/>
    <w:rsid w:val="00EF7442"/>
    <w:rsid w:val="00F00140"/>
    <w:rsid w:val="00F029BE"/>
    <w:rsid w:val="00F03157"/>
    <w:rsid w:val="00F102AD"/>
    <w:rsid w:val="00F10A21"/>
    <w:rsid w:val="00F13486"/>
    <w:rsid w:val="00F14BA6"/>
    <w:rsid w:val="00F15C02"/>
    <w:rsid w:val="00F16BB7"/>
    <w:rsid w:val="00F16E2F"/>
    <w:rsid w:val="00F213F0"/>
    <w:rsid w:val="00F21853"/>
    <w:rsid w:val="00F2193C"/>
    <w:rsid w:val="00F224BF"/>
    <w:rsid w:val="00F22965"/>
    <w:rsid w:val="00F26298"/>
    <w:rsid w:val="00F2700D"/>
    <w:rsid w:val="00F278B4"/>
    <w:rsid w:val="00F31AE6"/>
    <w:rsid w:val="00F321CC"/>
    <w:rsid w:val="00F3244C"/>
    <w:rsid w:val="00F3263C"/>
    <w:rsid w:val="00F351AB"/>
    <w:rsid w:val="00F374AA"/>
    <w:rsid w:val="00F3760F"/>
    <w:rsid w:val="00F40805"/>
    <w:rsid w:val="00F408B1"/>
    <w:rsid w:val="00F41C6B"/>
    <w:rsid w:val="00F420A8"/>
    <w:rsid w:val="00F42211"/>
    <w:rsid w:val="00F425CA"/>
    <w:rsid w:val="00F4282E"/>
    <w:rsid w:val="00F43461"/>
    <w:rsid w:val="00F4356C"/>
    <w:rsid w:val="00F44A02"/>
    <w:rsid w:val="00F4501D"/>
    <w:rsid w:val="00F46235"/>
    <w:rsid w:val="00F4693E"/>
    <w:rsid w:val="00F47548"/>
    <w:rsid w:val="00F479D2"/>
    <w:rsid w:val="00F47D6F"/>
    <w:rsid w:val="00F504DB"/>
    <w:rsid w:val="00F52568"/>
    <w:rsid w:val="00F54615"/>
    <w:rsid w:val="00F5588B"/>
    <w:rsid w:val="00F60951"/>
    <w:rsid w:val="00F6183C"/>
    <w:rsid w:val="00F618BE"/>
    <w:rsid w:val="00F62B3F"/>
    <w:rsid w:val="00F62BAD"/>
    <w:rsid w:val="00F635AE"/>
    <w:rsid w:val="00F63828"/>
    <w:rsid w:val="00F64CBD"/>
    <w:rsid w:val="00F6541F"/>
    <w:rsid w:val="00F67A7E"/>
    <w:rsid w:val="00F739DD"/>
    <w:rsid w:val="00F74395"/>
    <w:rsid w:val="00F750E1"/>
    <w:rsid w:val="00F757B9"/>
    <w:rsid w:val="00F7679D"/>
    <w:rsid w:val="00F7686D"/>
    <w:rsid w:val="00F76EDB"/>
    <w:rsid w:val="00F77696"/>
    <w:rsid w:val="00F80E48"/>
    <w:rsid w:val="00F820DB"/>
    <w:rsid w:val="00F8265C"/>
    <w:rsid w:val="00F829C6"/>
    <w:rsid w:val="00F830BF"/>
    <w:rsid w:val="00F83E37"/>
    <w:rsid w:val="00F843F2"/>
    <w:rsid w:val="00F84895"/>
    <w:rsid w:val="00F85837"/>
    <w:rsid w:val="00F873B1"/>
    <w:rsid w:val="00F8794C"/>
    <w:rsid w:val="00F87F2D"/>
    <w:rsid w:val="00F913FC"/>
    <w:rsid w:val="00F9252D"/>
    <w:rsid w:val="00F92913"/>
    <w:rsid w:val="00F9295E"/>
    <w:rsid w:val="00F946CF"/>
    <w:rsid w:val="00F97057"/>
    <w:rsid w:val="00FA132B"/>
    <w:rsid w:val="00FA249B"/>
    <w:rsid w:val="00FA2517"/>
    <w:rsid w:val="00FA2C36"/>
    <w:rsid w:val="00FA37B0"/>
    <w:rsid w:val="00FA3B05"/>
    <w:rsid w:val="00FA428D"/>
    <w:rsid w:val="00FA4835"/>
    <w:rsid w:val="00FA4E67"/>
    <w:rsid w:val="00FA582B"/>
    <w:rsid w:val="00FA59E5"/>
    <w:rsid w:val="00FA5E8B"/>
    <w:rsid w:val="00FB0CEA"/>
    <w:rsid w:val="00FB0CFF"/>
    <w:rsid w:val="00FB1B79"/>
    <w:rsid w:val="00FB1C0E"/>
    <w:rsid w:val="00FB24D1"/>
    <w:rsid w:val="00FB590C"/>
    <w:rsid w:val="00FB5A2A"/>
    <w:rsid w:val="00FC09EA"/>
    <w:rsid w:val="00FC10C3"/>
    <w:rsid w:val="00FC23DA"/>
    <w:rsid w:val="00FC3196"/>
    <w:rsid w:val="00FC3D1B"/>
    <w:rsid w:val="00FC3DB8"/>
    <w:rsid w:val="00FC4AC0"/>
    <w:rsid w:val="00FC4F6E"/>
    <w:rsid w:val="00FC63C2"/>
    <w:rsid w:val="00FC73ED"/>
    <w:rsid w:val="00FC7902"/>
    <w:rsid w:val="00FD03A9"/>
    <w:rsid w:val="00FD1813"/>
    <w:rsid w:val="00FD2B9B"/>
    <w:rsid w:val="00FD49C7"/>
    <w:rsid w:val="00FD54A7"/>
    <w:rsid w:val="00FD5C48"/>
    <w:rsid w:val="00FD64D5"/>
    <w:rsid w:val="00FD791D"/>
    <w:rsid w:val="00FD7B72"/>
    <w:rsid w:val="00FE15F8"/>
    <w:rsid w:val="00FE1F10"/>
    <w:rsid w:val="00FE2081"/>
    <w:rsid w:val="00FE3202"/>
    <w:rsid w:val="00FE42EB"/>
    <w:rsid w:val="00FE46C0"/>
    <w:rsid w:val="00FE5AC7"/>
    <w:rsid w:val="00FE62FD"/>
    <w:rsid w:val="00FE69B8"/>
    <w:rsid w:val="00FE7033"/>
    <w:rsid w:val="00FE7F7A"/>
    <w:rsid w:val="00FF0E23"/>
    <w:rsid w:val="00FF15DE"/>
    <w:rsid w:val="00FF1717"/>
    <w:rsid w:val="00FF2A6A"/>
    <w:rsid w:val="00FF35CF"/>
    <w:rsid w:val="00FF47DA"/>
    <w:rsid w:val="00FF5DAC"/>
    <w:rsid w:val="00FF607F"/>
    <w:rsid w:val="01173022"/>
    <w:rsid w:val="012045AA"/>
    <w:rsid w:val="016C4C27"/>
    <w:rsid w:val="01C866F3"/>
    <w:rsid w:val="01EF1423"/>
    <w:rsid w:val="0212104F"/>
    <w:rsid w:val="024649CA"/>
    <w:rsid w:val="0257331A"/>
    <w:rsid w:val="02580548"/>
    <w:rsid w:val="02677314"/>
    <w:rsid w:val="02BD5D0D"/>
    <w:rsid w:val="02EC0C88"/>
    <w:rsid w:val="02F6716B"/>
    <w:rsid w:val="030B000A"/>
    <w:rsid w:val="036367A9"/>
    <w:rsid w:val="03A34D06"/>
    <w:rsid w:val="03A71043"/>
    <w:rsid w:val="03CA4BC5"/>
    <w:rsid w:val="03D75FE4"/>
    <w:rsid w:val="03DF70E9"/>
    <w:rsid w:val="03E12F58"/>
    <w:rsid w:val="04380A7C"/>
    <w:rsid w:val="048A5003"/>
    <w:rsid w:val="04AA75CC"/>
    <w:rsid w:val="04AE2C39"/>
    <w:rsid w:val="04FC62A0"/>
    <w:rsid w:val="0508317B"/>
    <w:rsid w:val="05851B98"/>
    <w:rsid w:val="05901D8B"/>
    <w:rsid w:val="05903B69"/>
    <w:rsid w:val="05A514E7"/>
    <w:rsid w:val="06142BC2"/>
    <w:rsid w:val="06320837"/>
    <w:rsid w:val="06B52DBF"/>
    <w:rsid w:val="074573FA"/>
    <w:rsid w:val="076D4D3B"/>
    <w:rsid w:val="07E85B65"/>
    <w:rsid w:val="089260BF"/>
    <w:rsid w:val="089C322F"/>
    <w:rsid w:val="08C0216A"/>
    <w:rsid w:val="09153DF2"/>
    <w:rsid w:val="092250D9"/>
    <w:rsid w:val="095301C4"/>
    <w:rsid w:val="095C5B87"/>
    <w:rsid w:val="09807BB1"/>
    <w:rsid w:val="09893999"/>
    <w:rsid w:val="09CE7ABC"/>
    <w:rsid w:val="09D20297"/>
    <w:rsid w:val="09F71806"/>
    <w:rsid w:val="0A0544CB"/>
    <w:rsid w:val="0A2B13BC"/>
    <w:rsid w:val="0A2D48BF"/>
    <w:rsid w:val="0A305844"/>
    <w:rsid w:val="0A5F2B10"/>
    <w:rsid w:val="0A695442"/>
    <w:rsid w:val="0A7F52ED"/>
    <w:rsid w:val="0ABB3229"/>
    <w:rsid w:val="0ACF7116"/>
    <w:rsid w:val="0B022194"/>
    <w:rsid w:val="0B8031B8"/>
    <w:rsid w:val="0BAD57ED"/>
    <w:rsid w:val="0BE92951"/>
    <w:rsid w:val="0BFA2259"/>
    <w:rsid w:val="0C811890"/>
    <w:rsid w:val="0C9C0EF9"/>
    <w:rsid w:val="0CA25AAB"/>
    <w:rsid w:val="0CA903D4"/>
    <w:rsid w:val="0CC9655C"/>
    <w:rsid w:val="0CD04E93"/>
    <w:rsid w:val="0D343779"/>
    <w:rsid w:val="0D434CB1"/>
    <w:rsid w:val="0D810727"/>
    <w:rsid w:val="0D8B55C6"/>
    <w:rsid w:val="0DA5377A"/>
    <w:rsid w:val="0DCA2B2C"/>
    <w:rsid w:val="0DDB40CB"/>
    <w:rsid w:val="0DDD10A0"/>
    <w:rsid w:val="0DF229A0"/>
    <w:rsid w:val="0E132027"/>
    <w:rsid w:val="0E53178C"/>
    <w:rsid w:val="0E9118BB"/>
    <w:rsid w:val="0EF92209"/>
    <w:rsid w:val="0F220B5F"/>
    <w:rsid w:val="0F995EAB"/>
    <w:rsid w:val="0FD64A0E"/>
    <w:rsid w:val="0FE03457"/>
    <w:rsid w:val="1000054D"/>
    <w:rsid w:val="1045503C"/>
    <w:rsid w:val="104751EE"/>
    <w:rsid w:val="107F2121"/>
    <w:rsid w:val="10946843"/>
    <w:rsid w:val="10DA1C5B"/>
    <w:rsid w:val="10E010AE"/>
    <w:rsid w:val="1121383C"/>
    <w:rsid w:val="11285A31"/>
    <w:rsid w:val="114D71E4"/>
    <w:rsid w:val="11B2184C"/>
    <w:rsid w:val="11C449B6"/>
    <w:rsid w:val="122C0CB7"/>
    <w:rsid w:val="127846EA"/>
    <w:rsid w:val="12907582"/>
    <w:rsid w:val="12C27783"/>
    <w:rsid w:val="132D2C84"/>
    <w:rsid w:val="134B6F1C"/>
    <w:rsid w:val="137B1BE2"/>
    <w:rsid w:val="138B54AF"/>
    <w:rsid w:val="13D34716"/>
    <w:rsid w:val="1428639F"/>
    <w:rsid w:val="144F7C5D"/>
    <w:rsid w:val="14655E57"/>
    <w:rsid w:val="146A5887"/>
    <w:rsid w:val="148876BD"/>
    <w:rsid w:val="149B13A3"/>
    <w:rsid w:val="14F15F22"/>
    <w:rsid w:val="152150F5"/>
    <w:rsid w:val="152E2BB9"/>
    <w:rsid w:val="155D7536"/>
    <w:rsid w:val="15930E74"/>
    <w:rsid w:val="15C33BC1"/>
    <w:rsid w:val="16193D29"/>
    <w:rsid w:val="165B44AE"/>
    <w:rsid w:val="16822CFB"/>
    <w:rsid w:val="16C12806"/>
    <w:rsid w:val="16E52D9F"/>
    <w:rsid w:val="1763586C"/>
    <w:rsid w:val="17656013"/>
    <w:rsid w:val="176577E4"/>
    <w:rsid w:val="17971D6A"/>
    <w:rsid w:val="17C90A93"/>
    <w:rsid w:val="17CB3F96"/>
    <w:rsid w:val="17D64A28"/>
    <w:rsid w:val="17DA071C"/>
    <w:rsid w:val="1831427A"/>
    <w:rsid w:val="18463104"/>
    <w:rsid w:val="18767CB3"/>
    <w:rsid w:val="18A64A2C"/>
    <w:rsid w:val="191E201A"/>
    <w:rsid w:val="191F35C3"/>
    <w:rsid w:val="192C06DB"/>
    <w:rsid w:val="194E5067"/>
    <w:rsid w:val="1957162B"/>
    <w:rsid w:val="19F60C1B"/>
    <w:rsid w:val="1A230C64"/>
    <w:rsid w:val="1A4B44E5"/>
    <w:rsid w:val="1AAE7552"/>
    <w:rsid w:val="1B001EEC"/>
    <w:rsid w:val="1B256297"/>
    <w:rsid w:val="1B264023"/>
    <w:rsid w:val="1B362D7D"/>
    <w:rsid w:val="1B3B36DA"/>
    <w:rsid w:val="1B4342D6"/>
    <w:rsid w:val="1B4C6157"/>
    <w:rsid w:val="1BA73B20"/>
    <w:rsid w:val="1BCE542B"/>
    <w:rsid w:val="1C346454"/>
    <w:rsid w:val="1C4B6079"/>
    <w:rsid w:val="1C756EBE"/>
    <w:rsid w:val="1CA6768D"/>
    <w:rsid w:val="1CB86567"/>
    <w:rsid w:val="1D085FD6"/>
    <w:rsid w:val="1D3A4CD9"/>
    <w:rsid w:val="1D41310E"/>
    <w:rsid w:val="1D77743D"/>
    <w:rsid w:val="1D885012"/>
    <w:rsid w:val="1DBB1753"/>
    <w:rsid w:val="1DC0365D"/>
    <w:rsid w:val="1DE21613"/>
    <w:rsid w:val="1DE47588"/>
    <w:rsid w:val="1E376CBD"/>
    <w:rsid w:val="1E53644F"/>
    <w:rsid w:val="1E5B4716"/>
    <w:rsid w:val="1E8F2A30"/>
    <w:rsid w:val="1EA22E39"/>
    <w:rsid w:val="1EB16DF4"/>
    <w:rsid w:val="1EB554B4"/>
    <w:rsid w:val="1F6313C0"/>
    <w:rsid w:val="1F7E5D68"/>
    <w:rsid w:val="1FB0418D"/>
    <w:rsid w:val="1FD6506F"/>
    <w:rsid w:val="1FEC54D4"/>
    <w:rsid w:val="20151933"/>
    <w:rsid w:val="205C5F6F"/>
    <w:rsid w:val="20AF2A2B"/>
    <w:rsid w:val="212254A6"/>
    <w:rsid w:val="21765C9F"/>
    <w:rsid w:val="21982099"/>
    <w:rsid w:val="221A35BA"/>
    <w:rsid w:val="227811BD"/>
    <w:rsid w:val="22C8709B"/>
    <w:rsid w:val="22CF607A"/>
    <w:rsid w:val="22D30D06"/>
    <w:rsid w:val="22DC1AFA"/>
    <w:rsid w:val="22E152C9"/>
    <w:rsid w:val="231D18AB"/>
    <w:rsid w:val="23E3309D"/>
    <w:rsid w:val="248405AE"/>
    <w:rsid w:val="249E2B78"/>
    <w:rsid w:val="24A1493A"/>
    <w:rsid w:val="25194B68"/>
    <w:rsid w:val="25413B2E"/>
    <w:rsid w:val="254237AE"/>
    <w:rsid w:val="254F08C6"/>
    <w:rsid w:val="258A19A4"/>
    <w:rsid w:val="25FA510D"/>
    <w:rsid w:val="26B6682E"/>
    <w:rsid w:val="26DE7425"/>
    <w:rsid w:val="276542A3"/>
    <w:rsid w:val="2778388E"/>
    <w:rsid w:val="280023FB"/>
    <w:rsid w:val="281A3C2E"/>
    <w:rsid w:val="282D2A5B"/>
    <w:rsid w:val="289C222B"/>
    <w:rsid w:val="28B019B7"/>
    <w:rsid w:val="28C27EED"/>
    <w:rsid w:val="28CC407F"/>
    <w:rsid w:val="29E37FC4"/>
    <w:rsid w:val="29E56D4B"/>
    <w:rsid w:val="29FD21F3"/>
    <w:rsid w:val="2AEB56E8"/>
    <w:rsid w:val="2B080971"/>
    <w:rsid w:val="2B6E554D"/>
    <w:rsid w:val="2B9144CC"/>
    <w:rsid w:val="2BA60F2A"/>
    <w:rsid w:val="2BB13356"/>
    <w:rsid w:val="2BFD51BC"/>
    <w:rsid w:val="2C0B0477"/>
    <w:rsid w:val="2C364F95"/>
    <w:rsid w:val="2C47517F"/>
    <w:rsid w:val="2C504556"/>
    <w:rsid w:val="2C981230"/>
    <w:rsid w:val="2D136F02"/>
    <w:rsid w:val="2D3F6C81"/>
    <w:rsid w:val="2D5A2F60"/>
    <w:rsid w:val="2DB25F95"/>
    <w:rsid w:val="2DCF50B7"/>
    <w:rsid w:val="2E313FF3"/>
    <w:rsid w:val="2E801657"/>
    <w:rsid w:val="2EA42B11"/>
    <w:rsid w:val="2EB4519C"/>
    <w:rsid w:val="2ED95E2C"/>
    <w:rsid w:val="2F082BE8"/>
    <w:rsid w:val="2FAF42C8"/>
    <w:rsid w:val="2FBB7CFE"/>
    <w:rsid w:val="2FD524D3"/>
    <w:rsid w:val="2FDC1914"/>
    <w:rsid w:val="30144529"/>
    <w:rsid w:val="3064271D"/>
    <w:rsid w:val="307E369B"/>
    <w:rsid w:val="30AE7E0F"/>
    <w:rsid w:val="30E92D4B"/>
    <w:rsid w:val="31784BB8"/>
    <w:rsid w:val="318A28D4"/>
    <w:rsid w:val="318A4D95"/>
    <w:rsid w:val="31B43718"/>
    <w:rsid w:val="31D30229"/>
    <w:rsid w:val="31DE235E"/>
    <w:rsid w:val="321509B9"/>
    <w:rsid w:val="322E1833"/>
    <w:rsid w:val="32483F8C"/>
    <w:rsid w:val="32494010"/>
    <w:rsid w:val="32E872D6"/>
    <w:rsid w:val="32EF000C"/>
    <w:rsid w:val="333F557A"/>
    <w:rsid w:val="334327B5"/>
    <w:rsid w:val="335A72CC"/>
    <w:rsid w:val="336246D8"/>
    <w:rsid w:val="33815FF7"/>
    <w:rsid w:val="33933FAE"/>
    <w:rsid w:val="33E37A84"/>
    <w:rsid w:val="34792FA7"/>
    <w:rsid w:val="34797724"/>
    <w:rsid w:val="34BB4CF7"/>
    <w:rsid w:val="34E42F78"/>
    <w:rsid w:val="34E74C73"/>
    <w:rsid w:val="35622F91"/>
    <w:rsid w:val="35B23137"/>
    <w:rsid w:val="36491F1D"/>
    <w:rsid w:val="36720B63"/>
    <w:rsid w:val="36BA320D"/>
    <w:rsid w:val="36E063AD"/>
    <w:rsid w:val="370C1C5B"/>
    <w:rsid w:val="376C0D7B"/>
    <w:rsid w:val="37A159D2"/>
    <w:rsid w:val="37BC1E68"/>
    <w:rsid w:val="37C40157"/>
    <w:rsid w:val="37E167BB"/>
    <w:rsid w:val="37FA1338"/>
    <w:rsid w:val="381D73FF"/>
    <w:rsid w:val="38412DAA"/>
    <w:rsid w:val="387B16BE"/>
    <w:rsid w:val="38920B84"/>
    <w:rsid w:val="38F9174F"/>
    <w:rsid w:val="39082082"/>
    <w:rsid w:val="39404179"/>
    <w:rsid w:val="39825EE7"/>
    <w:rsid w:val="398413EB"/>
    <w:rsid w:val="3984360F"/>
    <w:rsid w:val="39EE3092"/>
    <w:rsid w:val="3A121F53"/>
    <w:rsid w:val="3A3239EC"/>
    <w:rsid w:val="3A622636"/>
    <w:rsid w:val="3A6619DD"/>
    <w:rsid w:val="3A7900FD"/>
    <w:rsid w:val="3B0E0EF1"/>
    <w:rsid w:val="3B2C3D25"/>
    <w:rsid w:val="3B4B36BB"/>
    <w:rsid w:val="3B5228DF"/>
    <w:rsid w:val="3B5B4D24"/>
    <w:rsid w:val="3B6A5D88"/>
    <w:rsid w:val="3B751B9A"/>
    <w:rsid w:val="3B962E46"/>
    <w:rsid w:val="3B9F208E"/>
    <w:rsid w:val="3BC00246"/>
    <w:rsid w:val="3BC14FFF"/>
    <w:rsid w:val="3C1B5BAC"/>
    <w:rsid w:val="3C471EF3"/>
    <w:rsid w:val="3C697EA9"/>
    <w:rsid w:val="3D30661D"/>
    <w:rsid w:val="3D650E2D"/>
    <w:rsid w:val="3D876102"/>
    <w:rsid w:val="3D8D5A7E"/>
    <w:rsid w:val="3DB71847"/>
    <w:rsid w:val="3DFF5ADA"/>
    <w:rsid w:val="3E1424DE"/>
    <w:rsid w:val="3F4020C3"/>
    <w:rsid w:val="3F577277"/>
    <w:rsid w:val="3F692A15"/>
    <w:rsid w:val="3FD8434D"/>
    <w:rsid w:val="40337EDF"/>
    <w:rsid w:val="40355CFC"/>
    <w:rsid w:val="404C4345"/>
    <w:rsid w:val="40650EF4"/>
    <w:rsid w:val="4086581B"/>
    <w:rsid w:val="410924C1"/>
    <w:rsid w:val="412A6279"/>
    <w:rsid w:val="4130375E"/>
    <w:rsid w:val="414A2F2A"/>
    <w:rsid w:val="419210F5"/>
    <w:rsid w:val="41C612ED"/>
    <w:rsid w:val="41D40B7C"/>
    <w:rsid w:val="41DD51D6"/>
    <w:rsid w:val="42047614"/>
    <w:rsid w:val="422F44A2"/>
    <w:rsid w:val="4265497C"/>
    <w:rsid w:val="426D03E0"/>
    <w:rsid w:val="42D25330"/>
    <w:rsid w:val="432B45A8"/>
    <w:rsid w:val="433B36DA"/>
    <w:rsid w:val="4357528E"/>
    <w:rsid w:val="437774DA"/>
    <w:rsid w:val="439475EC"/>
    <w:rsid w:val="43B57B21"/>
    <w:rsid w:val="43D56A6C"/>
    <w:rsid w:val="43DA7F24"/>
    <w:rsid w:val="440234A3"/>
    <w:rsid w:val="44356262"/>
    <w:rsid w:val="443E2003"/>
    <w:rsid w:val="4449229C"/>
    <w:rsid w:val="44516AA5"/>
    <w:rsid w:val="445C4E37"/>
    <w:rsid w:val="4494165D"/>
    <w:rsid w:val="44EF65A4"/>
    <w:rsid w:val="456A1771"/>
    <w:rsid w:val="45A3338F"/>
    <w:rsid w:val="45AB7FDC"/>
    <w:rsid w:val="45BA55E7"/>
    <w:rsid w:val="46246C67"/>
    <w:rsid w:val="462A2AA8"/>
    <w:rsid w:val="464E19E9"/>
    <w:rsid w:val="468B05CD"/>
    <w:rsid w:val="468B5712"/>
    <w:rsid w:val="46B15511"/>
    <w:rsid w:val="46C1191F"/>
    <w:rsid w:val="46EC05E8"/>
    <w:rsid w:val="46ED2D6D"/>
    <w:rsid w:val="46FC6684"/>
    <w:rsid w:val="471D219B"/>
    <w:rsid w:val="47243A7B"/>
    <w:rsid w:val="47A21312"/>
    <w:rsid w:val="47C076C6"/>
    <w:rsid w:val="47DF6240"/>
    <w:rsid w:val="48453F0F"/>
    <w:rsid w:val="48F52103"/>
    <w:rsid w:val="49281F8B"/>
    <w:rsid w:val="492923A4"/>
    <w:rsid w:val="496249F2"/>
    <w:rsid w:val="496D6F99"/>
    <w:rsid w:val="49827F58"/>
    <w:rsid w:val="4A2C1D3E"/>
    <w:rsid w:val="4A3A6AD6"/>
    <w:rsid w:val="4A72352D"/>
    <w:rsid w:val="4A7F0DD8"/>
    <w:rsid w:val="4A901A63"/>
    <w:rsid w:val="4ABA1867"/>
    <w:rsid w:val="4ACA50C0"/>
    <w:rsid w:val="4AD60EC9"/>
    <w:rsid w:val="4AE71C85"/>
    <w:rsid w:val="4B2D7BDB"/>
    <w:rsid w:val="4B995817"/>
    <w:rsid w:val="4B997F27"/>
    <w:rsid w:val="4BA6255B"/>
    <w:rsid w:val="4BC61AE0"/>
    <w:rsid w:val="4BE26138"/>
    <w:rsid w:val="4BF80E7D"/>
    <w:rsid w:val="4C500A16"/>
    <w:rsid w:val="4C675DE6"/>
    <w:rsid w:val="4CDE6A80"/>
    <w:rsid w:val="4CEF2847"/>
    <w:rsid w:val="4D131782"/>
    <w:rsid w:val="4D651279"/>
    <w:rsid w:val="4DCD2F72"/>
    <w:rsid w:val="4DFD55EC"/>
    <w:rsid w:val="4E0455DE"/>
    <w:rsid w:val="4E5461D4"/>
    <w:rsid w:val="4E7C34AE"/>
    <w:rsid w:val="4E9F4CF8"/>
    <w:rsid w:val="4EA25710"/>
    <w:rsid w:val="4EB17834"/>
    <w:rsid w:val="4EB26E3C"/>
    <w:rsid w:val="4EE81103"/>
    <w:rsid w:val="4EFF261B"/>
    <w:rsid w:val="4F036A2F"/>
    <w:rsid w:val="4F174282"/>
    <w:rsid w:val="4F4670FC"/>
    <w:rsid w:val="4F7D349B"/>
    <w:rsid w:val="4FA0465B"/>
    <w:rsid w:val="4FEE5732"/>
    <w:rsid w:val="503E7911"/>
    <w:rsid w:val="503F16F5"/>
    <w:rsid w:val="50953C33"/>
    <w:rsid w:val="50D4714A"/>
    <w:rsid w:val="51565CA6"/>
    <w:rsid w:val="516D030B"/>
    <w:rsid w:val="51A662DB"/>
    <w:rsid w:val="5254009F"/>
    <w:rsid w:val="52586AA6"/>
    <w:rsid w:val="52C23F57"/>
    <w:rsid w:val="52DB37FC"/>
    <w:rsid w:val="532E06AF"/>
    <w:rsid w:val="53416A23"/>
    <w:rsid w:val="535300C4"/>
    <w:rsid w:val="5371317B"/>
    <w:rsid w:val="53E04E54"/>
    <w:rsid w:val="54171005"/>
    <w:rsid w:val="542F1B45"/>
    <w:rsid w:val="546C1C7E"/>
    <w:rsid w:val="54874862"/>
    <w:rsid w:val="54C855A5"/>
    <w:rsid w:val="54DA4BF7"/>
    <w:rsid w:val="54F15B76"/>
    <w:rsid w:val="54F31C6D"/>
    <w:rsid w:val="54F97638"/>
    <w:rsid w:val="553A52C1"/>
    <w:rsid w:val="55BF63DF"/>
    <w:rsid w:val="55CE25E7"/>
    <w:rsid w:val="55FB06B5"/>
    <w:rsid w:val="55FB6FCF"/>
    <w:rsid w:val="56C5351D"/>
    <w:rsid w:val="57201576"/>
    <w:rsid w:val="57CD289A"/>
    <w:rsid w:val="585C2122"/>
    <w:rsid w:val="5893555B"/>
    <w:rsid w:val="58BB40BD"/>
    <w:rsid w:val="58C54B31"/>
    <w:rsid w:val="59620232"/>
    <w:rsid w:val="598F1FFB"/>
    <w:rsid w:val="59F477A1"/>
    <w:rsid w:val="5A4C43AF"/>
    <w:rsid w:val="5A4E49B8"/>
    <w:rsid w:val="5A862593"/>
    <w:rsid w:val="5AB6785F"/>
    <w:rsid w:val="5ADA3C6A"/>
    <w:rsid w:val="5AE76948"/>
    <w:rsid w:val="5B0E2BDB"/>
    <w:rsid w:val="5B25157D"/>
    <w:rsid w:val="5B5B4C83"/>
    <w:rsid w:val="5B8C403F"/>
    <w:rsid w:val="5BB4767B"/>
    <w:rsid w:val="5BCB1882"/>
    <w:rsid w:val="5BFC1263"/>
    <w:rsid w:val="5C693385"/>
    <w:rsid w:val="5C83015F"/>
    <w:rsid w:val="5C8C19E4"/>
    <w:rsid w:val="5CCD6823"/>
    <w:rsid w:val="5D2D376B"/>
    <w:rsid w:val="5D7A0C2D"/>
    <w:rsid w:val="5DCA38C1"/>
    <w:rsid w:val="5E1761EC"/>
    <w:rsid w:val="5E19466D"/>
    <w:rsid w:val="5E3E7B97"/>
    <w:rsid w:val="5E5721DE"/>
    <w:rsid w:val="5E673E04"/>
    <w:rsid w:val="5EB700D0"/>
    <w:rsid w:val="5EBE2BFD"/>
    <w:rsid w:val="5ECB4B85"/>
    <w:rsid w:val="5ED75D25"/>
    <w:rsid w:val="5F0C077E"/>
    <w:rsid w:val="5F0D16BE"/>
    <w:rsid w:val="5F1E649A"/>
    <w:rsid w:val="5F2361A5"/>
    <w:rsid w:val="5F5159EF"/>
    <w:rsid w:val="5F67327A"/>
    <w:rsid w:val="5F6D531F"/>
    <w:rsid w:val="5F7B7163"/>
    <w:rsid w:val="5FAE4BC8"/>
    <w:rsid w:val="5FE11A5B"/>
    <w:rsid w:val="5FE84FF3"/>
    <w:rsid w:val="600E4E84"/>
    <w:rsid w:val="60462B7D"/>
    <w:rsid w:val="60684336"/>
    <w:rsid w:val="60B707B9"/>
    <w:rsid w:val="60F51D67"/>
    <w:rsid w:val="61466DA4"/>
    <w:rsid w:val="614957F3"/>
    <w:rsid w:val="617D0DFB"/>
    <w:rsid w:val="617E2781"/>
    <w:rsid w:val="6199662E"/>
    <w:rsid w:val="619D3E1F"/>
    <w:rsid w:val="61EC2DB5"/>
    <w:rsid w:val="629E7899"/>
    <w:rsid w:val="62BC1648"/>
    <w:rsid w:val="62E47AC9"/>
    <w:rsid w:val="636D582F"/>
    <w:rsid w:val="63857653"/>
    <w:rsid w:val="64092E24"/>
    <w:rsid w:val="648A6F00"/>
    <w:rsid w:val="64B33CFB"/>
    <w:rsid w:val="64B646EB"/>
    <w:rsid w:val="64BB2F53"/>
    <w:rsid w:val="64CB796A"/>
    <w:rsid w:val="64E16080"/>
    <w:rsid w:val="64E42A92"/>
    <w:rsid w:val="651703F3"/>
    <w:rsid w:val="65331571"/>
    <w:rsid w:val="65891A1A"/>
    <w:rsid w:val="65904230"/>
    <w:rsid w:val="659F31C5"/>
    <w:rsid w:val="65BA5074"/>
    <w:rsid w:val="65D93259"/>
    <w:rsid w:val="65DC302A"/>
    <w:rsid w:val="65E33048"/>
    <w:rsid w:val="663911C6"/>
    <w:rsid w:val="667924D4"/>
    <w:rsid w:val="667A38B9"/>
    <w:rsid w:val="668A1EC9"/>
    <w:rsid w:val="66A333DC"/>
    <w:rsid w:val="6717752F"/>
    <w:rsid w:val="673037DA"/>
    <w:rsid w:val="67610404"/>
    <w:rsid w:val="67783A19"/>
    <w:rsid w:val="679F1C48"/>
    <w:rsid w:val="67AA4E51"/>
    <w:rsid w:val="67B13EAA"/>
    <w:rsid w:val="67CF4D95"/>
    <w:rsid w:val="68122C4A"/>
    <w:rsid w:val="68546F36"/>
    <w:rsid w:val="688E54EC"/>
    <w:rsid w:val="68981FA9"/>
    <w:rsid w:val="68F42A62"/>
    <w:rsid w:val="69351538"/>
    <w:rsid w:val="69760313"/>
    <w:rsid w:val="698C69AC"/>
    <w:rsid w:val="699F4C90"/>
    <w:rsid w:val="69A47B5D"/>
    <w:rsid w:val="69CC6B23"/>
    <w:rsid w:val="6A71203D"/>
    <w:rsid w:val="6A8A40CA"/>
    <w:rsid w:val="6ADB565B"/>
    <w:rsid w:val="6B1E1FFC"/>
    <w:rsid w:val="6B3A7833"/>
    <w:rsid w:val="6B457289"/>
    <w:rsid w:val="6B4E599A"/>
    <w:rsid w:val="6B713513"/>
    <w:rsid w:val="6B7D2C66"/>
    <w:rsid w:val="6BA779FD"/>
    <w:rsid w:val="6BC049D4"/>
    <w:rsid w:val="6BDA2A0C"/>
    <w:rsid w:val="6C185E67"/>
    <w:rsid w:val="6C2E088C"/>
    <w:rsid w:val="6C562949"/>
    <w:rsid w:val="6C621FDF"/>
    <w:rsid w:val="6C9F78C6"/>
    <w:rsid w:val="6CA703C4"/>
    <w:rsid w:val="6D000400"/>
    <w:rsid w:val="6D715CF6"/>
    <w:rsid w:val="6E0C3383"/>
    <w:rsid w:val="6E195F94"/>
    <w:rsid w:val="6E5F4C9B"/>
    <w:rsid w:val="6E675A66"/>
    <w:rsid w:val="6E7C7429"/>
    <w:rsid w:val="6E8A3CC5"/>
    <w:rsid w:val="6E9063CA"/>
    <w:rsid w:val="6EA66996"/>
    <w:rsid w:val="6EDA00EA"/>
    <w:rsid w:val="6F181253"/>
    <w:rsid w:val="6F3A3986"/>
    <w:rsid w:val="6F4F4AAA"/>
    <w:rsid w:val="6F9A7306"/>
    <w:rsid w:val="6FC722F1"/>
    <w:rsid w:val="6FCF2F80"/>
    <w:rsid w:val="70180DF6"/>
    <w:rsid w:val="706B3187"/>
    <w:rsid w:val="70740D92"/>
    <w:rsid w:val="70AE4D6E"/>
    <w:rsid w:val="710245F7"/>
    <w:rsid w:val="71072C7D"/>
    <w:rsid w:val="712103D7"/>
    <w:rsid w:val="71490712"/>
    <w:rsid w:val="7173094C"/>
    <w:rsid w:val="71A241E3"/>
    <w:rsid w:val="71C54622"/>
    <w:rsid w:val="71C603FA"/>
    <w:rsid w:val="71D11865"/>
    <w:rsid w:val="71EA072F"/>
    <w:rsid w:val="71F04EF7"/>
    <w:rsid w:val="720A3FC4"/>
    <w:rsid w:val="72277783"/>
    <w:rsid w:val="725B1316"/>
    <w:rsid w:val="72AE42B2"/>
    <w:rsid w:val="72DB607B"/>
    <w:rsid w:val="7304556E"/>
    <w:rsid w:val="73372F12"/>
    <w:rsid w:val="733B43FF"/>
    <w:rsid w:val="735554B8"/>
    <w:rsid w:val="738E53D8"/>
    <w:rsid w:val="74276762"/>
    <w:rsid w:val="74BB40D8"/>
    <w:rsid w:val="75B94ECF"/>
    <w:rsid w:val="75ED0ADE"/>
    <w:rsid w:val="75FA3FB7"/>
    <w:rsid w:val="760B5652"/>
    <w:rsid w:val="760C1085"/>
    <w:rsid w:val="76123B82"/>
    <w:rsid w:val="766D3D59"/>
    <w:rsid w:val="77D5613C"/>
    <w:rsid w:val="77E82992"/>
    <w:rsid w:val="78285894"/>
    <w:rsid w:val="78E149F2"/>
    <w:rsid w:val="79171739"/>
    <w:rsid w:val="793C1E5E"/>
    <w:rsid w:val="79826B54"/>
    <w:rsid w:val="79D31AEC"/>
    <w:rsid w:val="79F82721"/>
    <w:rsid w:val="7A1173D2"/>
    <w:rsid w:val="7B3429AD"/>
    <w:rsid w:val="7B457207"/>
    <w:rsid w:val="7B646D7F"/>
    <w:rsid w:val="7BBC71C1"/>
    <w:rsid w:val="7BF1585B"/>
    <w:rsid w:val="7C0D5F13"/>
    <w:rsid w:val="7C4C0F97"/>
    <w:rsid w:val="7CE93B47"/>
    <w:rsid w:val="7D122172"/>
    <w:rsid w:val="7D603342"/>
    <w:rsid w:val="7DD97789"/>
    <w:rsid w:val="7E870BA6"/>
    <w:rsid w:val="7E944638"/>
    <w:rsid w:val="7EC61482"/>
    <w:rsid w:val="7ED03198"/>
    <w:rsid w:val="7EE2350D"/>
    <w:rsid w:val="7F085DC7"/>
    <w:rsid w:val="7F4C3DE7"/>
    <w:rsid w:val="7F4F42E2"/>
    <w:rsid w:val="7F7C160D"/>
    <w:rsid w:val="7FBA2CE1"/>
    <w:rsid w:val="7FFA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480" w:after="360" w:line="400" w:lineRule="exact"/>
      <w:outlineLvl w:val="0"/>
    </w:pPr>
    <w:rPr>
      <w:rFonts w:eastAsia="黑体"/>
      <w:bCs/>
      <w:kern w:val="44"/>
      <w:sz w:val="32"/>
      <w:szCs w:val="32"/>
    </w:rPr>
  </w:style>
  <w:style w:type="paragraph" w:styleId="2">
    <w:name w:val="heading 2"/>
    <w:basedOn w:val="1"/>
    <w:next w:val="1"/>
    <w:link w:val="135"/>
    <w:qFormat/>
    <w:uiPriority w:val="0"/>
    <w:pPr>
      <w:keepNext/>
      <w:keepLines/>
      <w:spacing w:before="480" w:after="120" w:line="400" w:lineRule="exact"/>
      <w:outlineLvl w:val="1"/>
    </w:pPr>
    <w:rPr>
      <w:rFonts w:ascii="Arial" w:hAnsi="Arial" w:eastAsia="黑体"/>
      <w:bCs/>
      <w:sz w:val="28"/>
      <w:szCs w:val="28"/>
    </w:rPr>
  </w:style>
  <w:style w:type="paragraph" w:styleId="4">
    <w:name w:val="heading 3"/>
    <w:basedOn w:val="1"/>
    <w:next w:val="1"/>
    <w:link w:val="122"/>
    <w:qFormat/>
    <w:uiPriority w:val="0"/>
    <w:pPr>
      <w:keepNext/>
      <w:keepLines/>
      <w:adjustRightInd w:val="0"/>
      <w:spacing w:before="240" w:after="120" w:line="400" w:lineRule="exact"/>
      <w:ind w:left="900" w:hanging="900"/>
      <w:outlineLvl w:val="2"/>
    </w:pPr>
    <w:rPr>
      <w:rFonts w:eastAsia="黑体"/>
      <w:bCs/>
      <w:sz w:val="24"/>
    </w:rPr>
  </w:style>
  <w:style w:type="paragraph" w:styleId="5">
    <w:name w:val="heading 4"/>
    <w:basedOn w:val="1"/>
    <w:next w:val="1"/>
    <w:qFormat/>
    <w:uiPriority w:val="0"/>
    <w:pPr>
      <w:keepNext/>
      <w:keepLines/>
      <w:adjustRightInd w:val="0"/>
      <w:spacing w:before="280" w:after="290" w:line="376" w:lineRule="atLeast"/>
      <w:ind w:left="1700" w:hanging="425"/>
      <w:textAlignment w:val="baseline"/>
      <w:outlineLvl w:val="3"/>
    </w:pPr>
    <w:rPr>
      <w:rFonts w:ascii="Arial" w:hAnsi="Arial" w:eastAsia="黑体"/>
      <w:b/>
      <w:kern w:val="0"/>
      <w:sz w:val="28"/>
      <w:szCs w:val="20"/>
    </w:rPr>
  </w:style>
  <w:style w:type="paragraph" w:styleId="6">
    <w:name w:val="heading 5"/>
    <w:basedOn w:val="1"/>
    <w:next w:val="1"/>
    <w:qFormat/>
    <w:uiPriority w:val="0"/>
    <w:pPr>
      <w:keepNext/>
      <w:keepLines/>
      <w:adjustRightInd w:val="0"/>
      <w:spacing w:before="280" w:after="290" w:line="376" w:lineRule="atLeast"/>
      <w:ind w:left="2125" w:hanging="425"/>
      <w:textAlignment w:val="baseline"/>
      <w:outlineLvl w:val="4"/>
    </w:pPr>
    <w:rPr>
      <w:b/>
      <w:kern w:val="0"/>
      <w:sz w:val="28"/>
      <w:szCs w:val="20"/>
    </w:rPr>
  </w:style>
  <w:style w:type="paragraph" w:styleId="7">
    <w:name w:val="heading 6"/>
    <w:basedOn w:val="1"/>
    <w:next w:val="1"/>
    <w:link w:val="141"/>
    <w:qFormat/>
    <w:uiPriority w:val="0"/>
    <w:pPr>
      <w:keepNext/>
      <w:keepLines/>
      <w:adjustRightInd w:val="0"/>
      <w:spacing w:before="240" w:after="64" w:line="320" w:lineRule="atLeast"/>
      <w:ind w:left="2550" w:hanging="425"/>
      <w:textAlignment w:val="baseline"/>
      <w:outlineLvl w:val="5"/>
    </w:pPr>
    <w:rPr>
      <w:rFonts w:ascii="Arial" w:hAnsi="Arial" w:eastAsia="黑体"/>
      <w:b/>
      <w:kern w:val="0"/>
      <w:sz w:val="24"/>
      <w:szCs w:val="20"/>
    </w:rPr>
  </w:style>
  <w:style w:type="paragraph" w:styleId="8">
    <w:name w:val="heading 7"/>
    <w:basedOn w:val="1"/>
    <w:next w:val="1"/>
    <w:link w:val="142"/>
    <w:qFormat/>
    <w:uiPriority w:val="0"/>
    <w:pPr>
      <w:keepNext/>
      <w:keepLines/>
      <w:adjustRightInd w:val="0"/>
      <w:spacing w:before="240" w:after="64" w:line="320" w:lineRule="atLeast"/>
      <w:ind w:left="2975" w:hanging="425"/>
      <w:textAlignment w:val="baseline"/>
      <w:outlineLvl w:val="6"/>
    </w:pPr>
    <w:rPr>
      <w:b/>
      <w:kern w:val="0"/>
      <w:sz w:val="24"/>
      <w:szCs w:val="20"/>
    </w:rPr>
  </w:style>
  <w:style w:type="paragraph" w:styleId="9">
    <w:name w:val="heading 8"/>
    <w:basedOn w:val="1"/>
    <w:next w:val="1"/>
    <w:link w:val="143"/>
    <w:qFormat/>
    <w:uiPriority w:val="0"/>
    <w:pPr>
      <w:keepNext/>
      <w:keepLines/>
      <w:adjustRightInd w:val="0"/>
      <w:spacing w:before="240" w:after="64" w:line="320" w:lineRule="atLeast"/>
      <w:ind w:left="3400" w:hanging="425"/>
      <w:textAlignment w:val="baseline"/>
      <w:outlineLvl w:val="7"/>
    </w:pPr>
    <w:rPr>
      <w:rFonts w:ascii="Arial" w:hAnsi="Arial" w:eastAsia="黑体"/>
      <w:kern w:val="0"/>
      <w:sz w:val="24"/>
      <w:szCs w:val="20"/>
    </w:rPr>
  </w:style>
  <w:style w:type="paragraph" w:styleId="10">
    <w:name w:val="heading 9"/>
    <w:basedOn w:val="1"/>
    <w:next w:val="1"/>
    <w:link w:val="144"/>
    <w:qFormat/>
    <w:uiPriority w:val="0"/>
    <w:pPr>
      <w:keepNext/>
      <w:keepLines/>
      <w:adjustRightInd w:val="0"/>
      <w:spacing w:before="240" w:after="64" w:line="320" w:lineRule="atLeast"/>
      <w:ind w:left="3825" w:hanging="425"/>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31"/>
    <w:qFormat/>
    <w:uiPriority w:val="0"/>
    <w:pPr>
      <w:ind w:firstLine="420"/>
    </w:pPr>
    <w:rPr>
      <w:szCs w:val="20"/>
    </w:rPr>
  </w:style>
  <w:style w:type="paragraph" w:styleId="13">
    <w:name w:val="caption"/>
    <w:basedOn w:val="1"/>
    <w:next w:val="1"/>
    <w:qFormat/>
    <w:uiPriority w:val="0"/>
    <w:rPr>
      <w:rFonts w:ascii="Arial" w:hAnsi="Arial" w:eastAsia="黑体"/>
      <w:b/>
      <w:sz w:val="20"/>
    </w:rPr>
  </w:style>
  <w:style w:type="paragraph" w:styleId="14">
    <w:name w:val="Document Map"/>
    <w:basedOn w:val="1"/>
    <w:link w:val="145"/>
    <w:qFormat/>
    <w:uiPriority w:val="0"/>
    <w:pPr>
      <w:shd w:val="clear" w:color="auto" w:fill="000080"/>
    </w:p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semiHidden/>
    <w:qFormat/>
    <w:uiPriority w:val="0"/>
    <w:pPr>
      <w:jc w:val="left"/>
    </w:pPr>
  </w:style>
  <w:style w:type="paragraph" w:styleId="17">
    <w:name w:val="Salutation"/>
    <w:basedOn w:val="1"/>
    <w:next w:val="1"/>
    <w:link w:val="146"/>
    <w:qFormat/>
    <w:uiPriority w:val="0"/>
  </w:style>
  <w:style w:type="paragraph" w:styleId="18">
    <w:name w:val="Body Text 3"/>
    <w:basedOn w:val="1"/>
    <w:link w:val="147"/>
    <w:qFormat/>
    <w:uiPriority w:val="0"/>
    <w:pPr>
      <w:spacing w:after="120"/>
    </w:pPr>
    <w:rPr>
      <w:sz w:val="16"/>
      <w:szCs w:val="16"/>
    </w:rPr>
  </w:style>
  <w:style w:type="paragraph" w:styleId="19">
    <w:name w:val="Body Text"/>
    <w:basedOn w:val="1"/>
    <w:next w:val="1"/>
    <w:qFormat/>
    <w:uiPriority w:val="0"/>
    <w:pPr>
      <w:spacing w:after="120"/>
    </w:pPr>
  </w:style>
  <w:style w:type="paragraph" w:styleId="20">
    <w:name w:val="Body Text Indent"/>
    <w:basedOn w:val="1"/>
    <w:qFormat/>
    <w:uiPriority w:val="0"/>
    <w:pPr>
      <w:spacing w:after="120"/>
      <w:ind w:left="420" w:leftChars="200"/>
    </w:pPr>
  </w:style>
  <w:style w:type="paragraph" w:styleId="21">
    <w:name w:val="Block Text"/>
    <w:basedOn w:val="1"/>
    <w:qFormat/>
    <w:uiPriority w:val="0"/>
    <w:pPr>
      <w:ind w:right="-1"/>
    </w:pPr>
    <w:rPr>
      <w:rFonts w:ascii="宋体" w:hAnsi="宋体"/>
      <w:sz w:val="28"/>
    </w:r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39"/>
    <w:pPr>
      <w:spacing w:line="440" w:lineRule="exact"/>
      <w:ind w:left="400" w:leftChars="400"/>
      <w:jc w:val="left"/>
    </w:pPr>
    <w:rPr>
      <w:iCs/>
      <w:sz w:val="24"/>
    </w:rPr>
  </w:style>
  <w:style w:type="paragraph" w:styleId="24">
    <w:name w:val="Plain Text"/>
    <w:basedOn w:val="1"/>
    <w:link w:val="193"/>
    <w:qFormat/>
    <w:uiPriority w:val="0"/>
    <w:rPr>
      <w:rFonts w:ascii="宋体" w:hAnsi="Courier New" w:cs="Courier New"/>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qFormat/>
    <w:uiPriority w:val="0"/>
    <w:pPr>
      <w:ind w:left="100" w:leftChars="2500"/>
    </w:pPr>
  </w:style>
  <w:style w:type="paragraph" w:styleId="27">
    <w:name w:val="Body Text Indent 2"/>
    <w:basedOn w:val="1"/>
    <w:qFormat/>
    <w:uiPriority w:val="0"/>
    <w:pPr>
      <w:spacing w:line="440" w:lineRule="atLeast"/>
      <w:ind w:firstLine="720" w:firstLineChars="300"/>
    </w:pPr>
    <w:rPr>
      <w:rFonts w:ascii="宋体" w:hAnsi="宋体"/>
      <w:sz w:val="24"/>
    </w:rPr>
  </w:style>
  <w:style w:type="paragraph" w:styleId="28">
    <w:name w:val="endnote text"/>
    <w:basedOn w:val="1"/>
    <w:link w:val="148"/>
    <w:qFormat/>
    <w:uiPriority w:val="0"/>
    <w:pPr>
      <w:snapToGrid w:val="0"/>
      <w:jc w:val="left"/>
    </w:pPr>
  </w:style>
  <w:style w:type="paragraph" w:styleId="29">
    <w:name w:val="Balloon Text"/>
    <w:basedOn w:val="1"/>
    <w:link w:val="149"/>
    <w:qFormat/>
    <w:uiPriority w:val="99"/>
    <w:rPr>
      <w:sz w:val="18"/>
      <w:szCs w:val="18"/>
    </w:rPr>
  </w:style>
  <w:style w:type="paragraph" w:styleId="30">
    <w:name w:val="footer"/>
    <w:basedOn w:val="1"/>
    <w:link w:val="137"/>
    <w:qFormat/>
    <w:uiPriority w:val="99"/>
    <w:pPr>
      <w:tabs>
        <w:tab w:val="center" w:pos="4153"/>
        <w:tab w:val="right" w:pos="8306"/>
      </w:tabs>
      <w:snapToGrid w:val="0"/>
      <w:jc w:val="left"/>
    </w:pPr>
    <w:rPr>
      <w:sz w:val="18"/>
      <w:szCs w:val="18"/>
    </w:rPr>
  </w:style>
  <w:style w:type="paragraph" w:styleId="31">
    <w:name w:val="header"/>
    <w:basedOn w:val="1"/>
    <w:link w:val="15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820"/>
      </w:tabs>
      <w:snapToGrid w:val="0"/>
      <w:spacing w:line="440" w:lineRule="exact"/>
      <w:jc w:val="left"/>
    </w:pPr>
    <w:rPr>
      <w:rFonts w:ascii="Arial" w:hAnsi="Arial" w:eastAsia="黑体"/>
      <w:b/>
      <w:bCs/>
      <w:sz w:val="28"/>
      <w:szCs w:val="28"/>
    </w:rPr>
  </w:style>
  <w:style w:type="paragraph" w:styleId="33">
    <w:name w:val="toc 4"/>
    <w:basedOn w:val="1"/>
    <w:next w:val="1"/>
    <w:qFormat/>
    <w:uiPriority w:val="39"/>
    <w:pPr>
      <w:ind w:left="630"/>
      <w:jc w:val="left"/>
    </w:pPr>
    <w:rPr>
      <w:sz w:val="18"/>
      <w:szCs w:val="18"/>
    </w:rPr>
  </w:style>
  <w:style w:type="paragraph" w:styleId="34">
    <w:name w:val="toc 6"/>
    <w:basedOn w:val="1"/>
    <w:next w:val="1"/>
    <w:qFormat/>
    <w:uiPriority w:val="0"/>
    <w:pPr>
      <w:ind w:left="1050"/>
      <w:jc w:val="left"/>
    </w:pPr>
    <w:rPr>
      <w:sz w:val="18"/>
      <w:szCs w:val="18"/>
    </w:rPr>
  </w:style>
  <w:style w:type="paragraph" w:styleId="35">
    <w:name w:val="Body Text Indent 3"/>
    <w:basedOn w:val="1"/>
    <w:qFormat/>
    <w:uiPriority w:val="0"/>
    <w:pPr>
      <w:spacing w:after="120"/>
      <w:ind w:left="420" w:leftChars="200"/>
    </w:pPr>
    <w:rPr>
      <w:sz w:val="16"/>
      <w:szCs w:val="16"/>
    </w:rPr>
  </w:style>
  <w:style w:type="paragraph" w:styleId="36">
    <w:name w:val="table of figures"/>
    <w:basedOn w:val="1"/>
    <w:next w:val="1"/>
    <w:qFormat/>
    <w:uiPriority w:val="0"/>
  </w:style>
  <w:style w:type="paragraph" w:styleId="37">
    <w:name w:val="toc 2"/>
    <w:basedOn w:val="1"/>
    <w:next w:val="1"/>
    <w:qFormat/>
    <w:uiPriority w:val="39"/>
    <w:pPr>
      <w:spacing w:line="440" w:lineRule="exact"/>
      <w:ind w:left="200" w:leftChars="200"/>
      <w:jc w:val="left"/>
    </w:pPr>
    <w:rPr>
      <w:b/>
      <w:smallCaps/>
      <w:sz w:val="24"/>
      <w:szCs w:val="20"/>
    </w:rPr>
  </w:style>
  <w:style w:type="paragraph" w:styleId="38">
    <w:name w:val="toc 9"/>
    <w:basedOn w:val="1"/>
    <w:next w:val="1"/>
    <w:qFormat/>
    <w:uiPriority w:val="0"/>
    <w:pPr>
      <w:ind w:left="1680"/>
      <w:jc w:val="left"/>
    </w:pPr>
    <w:rPr>
      <w:sz w:val="18"/>
      <w:szCs w:val="18"/>
    </w:rPr>
  </w:style>
  <w:style w:type="paragraph" w:styleId="39">
    <w:name w:val="List Continue 2"/>
    <w:basedOn w:val="1"/>
    <w:qFormat/>
    <w:uiPriority w:val="0"/>
    <w:pPr>
      <w:spacing w:after="120"/>
      <w:ind w:left="840"/>
    </w:pPr>
  </w:style>
  <w:style w:type="paragraph" w:styleId="40">
    <w:name w:val="HTML Preformatted"/>
    <w:basedOn w:val="1"/>
    <w:link w:val="15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宋体"/>
      <w:kern w:val="0"/>
      <w:sz w:val="20"/>
      <w:szCs w:val="20"/>
    </w:rPr>
  </w:style>
  <w:style w:type="paragraph" w:styleId="41">
    <w:name w:val="Normal (Web)"/>
    <w:basedOn w:val="1"/>
    <w:qFormat/>
    <w:uiPriority w:val="99"/>
    <w:pPr>
      <w:widowControl/>
      <w:spacing w:before="100" w:beforeAutospacing="1" w:after="100" w:afterAutospacing="1"/>
      <w:jc w:val="left"/>
    </w:pPr>
    <w:rPr>
      <w:rFonts w:ascii="Arial Unicode MS" w:hAnsi="Arial Unicode MS" w:eastAsia="Arial Unicode MS" w:cs="楷体_GB2312"/>
      <w:kern w:val="0"/>
      <w:sz w:val="24"/>
    </w:rPr>
  </w:style>
  <w:style w:type="paragraph" w:styleId="42">
    <w:name w:val="index 1"/>
    <w:basedOn w:val="1"/>
    <w:next w:val="1"/>
    <w:qFormat/>
    <w:uiPriority w:val="0"/>
    <w:pPr>
      <w:spacing w:line="440" w:lineRule="exact"/>
      <w:jc w:val="center"/>
    </w:pPr>
    <w:rPr>
      <w:color w:val="FF6600"/>
      <w:sz w:val="24"/>
    </w:rPr>
  </w:style>
  <w:style w:type="paragraph" w:styleId="43">
    <w:name w:val="Title"/>
    <w:next w:val="1"/>
    <w:link w:val="152"/>
    <w:qFormat/>
    <w:uiPriority w:val="0"/>
    <w:pPr>
      <w:adjustRightInd w:val="0"/>
      <w:snapToGrid w:val="0"/>
      <w:spacing w:beforeLines="100" w:afterLines="100" w:line="360" w:lineRule="auto"/>
      <w:jc w:val="center"/>
      <w:outlineLvl w:val="0"/>
    </w:pPr>
    <w:rPr>
      <w:rFonts w:ascii="Times New Roman" w:hAnsi="Times New Roman" w:eastAsia="黑体" w:cs="Arial"/>
      <w:b/>
      <w:bCs/>
      <w:snapToGrid w:val="0"/>
      <w:spacing w:val="20"/>
      <w:sz w:val="30"/>
      <w:szCs w:val="36"/>
      <w:lang w:val="en-US" w:eastAsia="zh-CN" w:bidi="ar-SA"/>
    </w:rPr>
  </w:style>
  <w:style w:type="paragraph" w:styleId="44">
    <w:name w:val="annotation subject"/>
    <w:basedOn w:val="16"/>
    <w:next w:val="16"/>
    <w:semiHidden/>
    <w:qFormat/>
    <w:uiPriority w:val="0"/>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555555"/>
      <w:sz w:val="18"/>
      <w:szCs w:val="18"/>
      <w:u w:val="none"/>
    </w:rPr>
  </w:style>
  <w:style w:type="character" w:styleId="52">
    <w:name w:val="Emphasis"/>
    <w:qFormat/>
    <w:uiPriority w:val="20"/>
    <w:rPr>
      <w:i/>
      <w:iCs/>
    </w:rPr>
  </w:style>
  <w:style w:type="character" w:styleId="53">
    <w:name w:val="Hyperlink"/>
    <w:qFormat/>
    <w:uiPriority w:val="99"/>
    <w:rPr>
      <w:color w:val="0368A8"/>
      <w:u w:val="none"/>
    </w:rPr>
  </w:style>
  <w:style w:type="character" w:styleId="54">
    <w:name w:val="annotation reference"/>
    <w:qFormat/>
    <w:uiPriority w:val="0"/>
    <w:rPr>
      <w:sz w:val="21"/>
      <w:szCs w:val="21"/>
    </w:rPr>
  </w:style>
  <w:style w:type="paragraph" w:customStyle="1" w:styleId="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56">
    <w:name w:val="p0"/>
    <w:basedOn w:val="1"/>
    <w:next w:val="39"/>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57">
    <w:name w:val="p17"/>
    <w:basedOn w:val="1"/>
    <w:qFormat/>
    <w:uiPriority w:val="0"/>
    <w:pPr>
      <w:widowControl/>
      <w:jc w:val="left"/>
    </w:pPr>
    <w:rPr>
      <w:rFonts w:ascii="宋体" w:hAnsi="宋体" w:cs="宋体"/>
      <w:kern w:val="0"/>
      <w:sz w:val="22"/>
      <w:szCs w:val="22"/>
    </w:rPr>
  </w:style>
  <w:style w:type="paragraph" w:customStyle="1" w:styleId="58">
    <w:name w:val="Char"/>
    <w:basedOn w:val="1"/>
    <w:qFormat/>
    <w:uiPriority w:val="0"/>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0">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8"/>
      <w:szCs w:val="28"/>
    </w:rPr>
  </w:style>
  <w:style w:type="paragraph" w:customStyle="1" w:styleId="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32"/>
      <w:szCs w:val="32"/>
    </w:rPr>
  </w:style>
  <w:style w:type="paragraph" w:customStyle="1" w:styleId="62">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3">
    <w:name w:val="投标文件二级标题"/>
    <w:basedOn w:val="1"/>
    <w:qFormat/>
    <w:uiPriority w:val="0"/>
  </w:style>
  <w:style w:type="paragraph" w:customStyle="1" w:styleId="64">
    <w:name w:val="投标文件三级标题"/>
    <w:basedOn w:val="1"/>
    <w:link w:val="123"/>
    <w:qFormat/>
    <w:uiPriority w:val="0"/>
  </w:style>
  <w:style w:type="paragraph" w:customStyle="1" w:styleId="65">
    <w:name w:val="font6"/>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66">
    <w:name w:val="4.正文标准"/>
    <w:basedOn w:val="1"/>
    <w:qFormat/>
    <w:uiPriority w:val="0"/>
    <w:pPr>
      <w:spacing w:line="360" w:lineRule="auto"/>
      <w:ind w:firstLine="480" w:firstLineChars="200"/>
    </w:pPr>
    <w:rPr>
      <w:rFonts w:ascii="Calibri" w:hAnsi="Calibri"/>
      <w:sz w:val="24"/>
    </w:rPr>
  </w:style>
  <w:style w:type="paragraph" w:customStyle="1" w:styleId="67">
    <w:name w:val="默认段落字体 Para Char"/>
    <w:basedOn w:val="1"/>
    <w:qFormat/>
    <w:uiPriority w:val="0"/>
  </w:style>
  <w:style w:type="paragraph" w:customStyle="1" w:styleId="6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
    <w:name w:val="xl3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1">
    <w:name w:val="Char1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默认段落字体 Para Char Char Char Char"/>
    <w:basedOn w:val="1"/>
    <w:qFormat/>
    <w:uiPriority w:val="0"/>
    <w:rPr>
      <w:rFonts w:ascii="宋体"/>
      <w:color w:val="000000"/>
      <w:sz w:val="24"/>
      <w:szCs w:val="20"/>
    </w:rPr>
  </w:style>
  <w:style w:type="paragraph" w:customStyle="1" w:styleId="73">
    <w:name w:val="Char11"/>
    <w:basedOn w:val="1"/>
    <w:next w:val="1"/>
    <w:qFormat/>
    <w:uiPriority w:val="0"/>
    <w:pPr>
      <w:spacing w:line="240" w:lineRule="atLeast"/>
      <w:ind w:left="420" w:firstLine="420"/>
      <w:jc w:val="left"/>
    </w:pPr>
  </w:style>
  <w:style w:type="paragraph" w:customStyle="1" w:styleId="74">
    <w:name w:val="xl3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75">
    <w:name w:val="xl2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32"/>
      <w:szCs w:val="32"/>
    </w:rPr>
  </w:style>
  <w:style w:type="paragraph" w:customStyle="1" w:styleId="76">
    <w:name w:val="xl42"/>
    <w:basedOn w:val="1"/>
    <w:qFormat/>
    <w:uiPriority w:val="0"/>
    <w:pPr>
      <w:widowControl/>
      <w:pBdr>
        <w:top w:val="single" w:color="auto" w:sz="4" w:space="0"/>
      </w:pBdr>
      <w:spacing w:before="100" w:beforeAutospacing="1" w:after="100" w:afterAutospacing="1"/>
      <w:jc w:val="center"/>
    </w:pPr>
    <w:rPr>
      <w:rFonts w:ascii="宋体" w:hAnsi="宋体" w:cs="宋体"/>
      <w:kern w:val="0"/>
      <w:sz w:val="32"/>
      <w:szCs w:val="32"/>
    </w:rPr>
  </w:style>
  <w:style w:type="paragraph" w:customStyle="1" w:styleId="7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78">
    <w:name w:val="样式 标题 3 + (西文) Arial (中文) 黑体 四号 非加粗 蓝色"/>
    <w:basedOn w:val="4"/>
    <w:qFormat/>
    <w:uiPriority w:val="0"/>
    <w:pPr>
      <w:spacing w:line="440" w:lineRule="exact"/>
    </w:pPr>
    <w:rPr>
      <w:rFonts w:ascii="Arial" w:hAnsi="Arial"/>
      <w:b/>
      <w:bCs w:val="0"/>
      <w:color w:val="0000FF"/>
      <w:sz w:val="28"/>
    </w:rPr>
  </w:style>
  <w:style w:type="paragraph" w:customStyle="1" w:styleId="79">
    <w:name w:val="Char Char Char1 Char Char Char Char Char Char Char"/>
    <w:basedOn w:val="1"/>
    <w:qFormat/>
    <w:uiPriority w:val="0"/>
    <w:rPr>
      <w:rFonts w:ascii="Tahoma" w:hAnsi="Tahoma"/>
      <w:sz w:val="30"/>
      <w:szCs w:val="30"/>
    </w:rPr>
  </w:style>
  <w:style w:type="paragraph" w:customStyle="1" w:styleId="80">
    <w:name w:val="Char Char Char Char"/>
    <w:basedOn w:val="1"/>
    <w:qFormat/>
    <w:uiPriority w:val="0"/>
  </w:style>
  <w:style w:type="paragraph" w:customStyle="1" w:styleId="81">
    <w:name w:val="xl4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82">
    <w:name w:val="列出段落1"/>
    <w:basedOn w:val="1"/>
    <w:qFormat/>
    <w:uiPriority w:val="34"/>
    <w:pPr>
      <w:ind w:firstLine="420" w:firstLineChars="200"/>
    </w:pPr>
  </w:style>
  <w:style w:type="paragraph" w:customStyle="1" w:styleId="83">
    <w:name w:val="wg"/>
    <w:basedOn w:val="1"/>
    <w:qFormat/>
    <w:uiPriority w:val="0"/>
    <w:rPr>
      <w:sz w:val="28"/>
      <w:szCs w:val="20"/>
    </w:rPr>
  </w:style>
  <w:style w:type="paragraph" w:customStyle="1" w:styleId="8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
    <w:name w:val="列表段落1"/>
    <w:basedOn w:val="1"/>
    <w:qFormat/>
    <w:uiPriority w:val="0"/>
    <w:pPr>
      <w:ind w:firstLine="420" w:firstLineChars="200"/>
    </w:pPr>
    <w:rPr>
      <w:rFonts w:ascii="Calibri" w:hAnsi="Calibri"/>
      <w:szCs w:val="22"/>
    </w:rPr>
  </w:style>
  <w:style w:type="paragraph" w:customStyle="1" w:styleId="86">
    <w:name w:val="Char Char Char Char Char Char Char Char Char Char Char Char Char Char Char Char"/>
    <w:basedOn w:val="14"/>
    <w:semiHidden/>
    <w:qFormat/>
    <w:uiPriority w:val="0"/>
    <w:pPr>
      <w:spacing w:line="360" w:lineRule="auto"/>
      <w:ind w:firstLine="200" w:firstLineChars="200"/>
    </w:pPr>
    <w:rPr>
      <w:rFonts w:ascii="Tahoma" w:hAnsi="Tahoma"/>
      <w:sz w:val="24"/>
    </w:rPr>
  </w:style>
  <w:style w:type="paragraph" w:customStyle="1" w:styleId="87">
    <w:name w:val="Char Char Char Char1"/>
    <w:basedOn w:val="1"/>
    <w:qFormat/>
    <w:uiPriority w:val="0"/>
  </w:style>
  <w:style w:type="paragraph" w:customStyle="1" w:styleId="88">
    <w:name w:val="投标文件四级标题"/>
    <w:basedOn w:val="1"/>
    <w:link w:val="124"/>
    <w:qFormat/>
    <w:uiPriority w:val="0"/>
    <w:pPr>
      <w:tabs>
        <w:tab w:val="left" w:pos="1080"/>
      </w:tabs>
      <w:ind w:left="1080" w:hanging="1080"/>
    </w:pPr>
  </w:style>
  <w:style w:type="paragraph" w:customStyle="1" w:styleId="89">
    <w:name w:val="Char Char Char Char Char2 Char"/>
    <w:basedOn w:val="1"/>
    <w:qFormat/>
    <w:uiPriority w:val="0"/>
    <w:pPr>
      <w:adjustRightInd w:val="0"/>
      <w:snapToGrid w:val="0"/>
      <w:spacing w:line="360" w:lineRule="auto"/>
      <w:ind w:firstLine="200" w:firstLineChars="200"/>
    </w:pPr>
    <w:rPr>
      <w:szCs w:val="20"/>
    </w:rPr>
  </w:style>
  <w:style w:type="paragraph" w:customStyle="1" w:styleId="90">
    <w:name w:val="投标文件正文"/>
    <w:basedOn w:val="1"/>
    <w:link w:val="120"/>
    <w:qFormat/>
    <w:uiPriority w:val="0"/>
    <w:pPr>
      <w:spacing w:line="400" w:lineRule="exact"/>
      <w:ind w:firstLine="480" w:firstLineChars="200"/>
    </w:pPr>
    <w:rPr>
      <w:rFonts w:ascii="Arial" w:hAnsi="Arial"/>
      <w:sz w:val="24"/>
    </w:rPr>
  </w:style>
  <w:style w:type="paragraph" w:customStyle="1" w:styleId="91">
    <w:name w:val="WW-普通文字"/>
    <w:basedOn w:val="1"/>
    <w:qFormat/>
    <w:uiPriority w:val="99"/>
    <w:pPr>
      <w:suppressAutoHyphens/>
    </w:pPr>
    <w:rPr>
      <w:rFonts w:ascii="宋体" w:hAnsi="宋体"/>
      <w:kern w:val="1"/>
      <w:szCs w:val="20"/>
    </w:rPr>
  </w:style>
  <w:style w:type="paragraph" w:customStyle="1" w:styleId="92">
    <w:name w:val="正文目录 + 首行缩进:  2 字符 + 首行缩进:  2 字符 + 首行缩进:  2 字符"/>
    <w:basedOn w:val="1"/>
    <w:qFormat/>
    <w:uiPriority w:val="0"/>
    <w:pPr>
      <w:spacing w:line="360" w:lineRule="auto"/>
      <w:jc w:val="center"/>
    </w:pPr>
    <w:rPr>
      <w:rFonts w:ascii="仿宋_GB2312" w:hAnsi="宋体" w:eastAsia="仿宋_GB2312" w:cs="宋体"/>
      <w:b/>
      <w:kern w:val="0"/>
      <w:sz w:val="36"/>
      <w:szCs w:val="20"/>
    </w:rPr>
  </w:style>
  <w:style w:type="paragraph" w:customStyle="1" w:styleId="93">
    <w:name w:val="xl39"/>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32"/>
      <w:szCs w:val="32"/>
    </w:rPr>
  </w:style>
  <w:style w:type="paragraph" w:customStyle="1" w:styleId="94">
    <w:name w:val="样式 三号"/>
    <w:basedOn w:val="1"/>
    <w:qFormat/>
    <w:uiPriority w:val="0"/>
    <w:rPr>
      <w:rFonts w:eastAsia="仿宋_GB2312"/>
      <w:sz w:val="32"/>
      <w:szCs w:val="32"/>
    </w:rPr>
  </w:style>
  <w:style w:type="paragraph" w:customStyle="1" w:styleId="95">
    <w:name w:val="p16"/>
    <w:basedOn w:val="1"/>
    <w:qFormat/>
    <w:uiPriority w:val="0"/>
    <w:pPr>
      <w:widowControl/>
      <w:snapToGrid w:val="0"/>
      <w:spacing w:line="360" w:lineRule="auto"/>
      <w:ind w:firstLine="567"/>
    </w:pPr>
    <w:rPr>
      <w:kern w:val="0"/>
      <w:sz w:val="28"/>
      <w:szCs w:val="28"/>
    </w:rPr>
  </w:style>
  <w:style w:type="paragraph" w:customStyle="1" w:styleId="96">
    <w:name w:val="_正文段落"/>
    <w:basedOn w:val="1"/>
    <w:qFormat/>
    <w:uiPriority w:val="0"/>
    <w:pPr>
      <w:spacing w:line="360" w:lineRule="auto"/>
    </w:pPr>
    <w:rPr>
      <w:rFonts w:eastAsia="仿宋_GB2312"/>
      <w:sz w:val="28"/>
    </w:rPr>
  </w:style>
  <w:style w:type="paragraph" w:customStyle="1" w:styleId="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9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99">
    <w:name w:val="Char Char Char"/>
    <w:basedOn w:val="14"/>
    <w:next w:val="4"/>
    <w:qFormat/>
    <w:uiPriority w:val="0"/>
    <w:pPr>
      <w:adjustRightInd w:val="0"/>
      <w:spacing w:line="600" w:lineRule="exact"/>
      <w:jc w:val="center"/>
      <w:outlineLvl w:val="2"/>
    </w:pPr>
    <w:rPr>
      <w:szCs w:val="20"/>
    </w:rPr>
  </w:style>
  <w:style w:type="paragraph" w:customStyle="1" w:styleId="100">
    <w:name w:val="point"/>
    <w:basedOn w:val="1"/>
    <w:qFormat/>
    <w:uiPriority w:val="0"/>
    <w:pPr>
      <w:widowControl/>
      <w:overflowPunct w:val="0"/>
      <w:autoSpaceDE w:val="0"/>
      <w:autoSpaceDN w:val="0"/>
      <w:adjustRightInd w:val="0"/>
      <w:spacing w:before="40" w:after="40"/>
      <w:ind w:left="720" w:hanging="274"/>
      <w:textAlignment w:val="baseline"/>
    </w:pPr>
    <w:rPr>
      <w:rFonts w:ascii="仿宋体" w:eastAsia="仿宋体"/>
      <w:spacing w:val="-2"/>
      <w:kern w:val="0"/>
      <w:position w:val="-2"/>
      <w:sz w:val="24"/>
      <w:szCs w:val="20"/>
    </w:rPr>
  </w:style>
  <w:style w:type="paragraph" w:customStyle="1" w:styleId="101">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xl4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32"/>
      <w:szCs w:val="32"/>
    </w:rPr>
  </w:style>
  <w:style w:type="paragraph" w:customStyle="1" w:styleId="10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04">
    <w:name w:val="投标表格表头格式"/>
    <w:basedOn w:val="1"/>
    <w:qFormat/>
    <w:uiPriority w:val="0"/>
    <w:pPr>
      <w:spacing w:before="120" w:after="120" w:line="400" w:lineRule="exact"/>
      <w:ind w:right="34" w:firstLine="200" w:firstLineChars="200"/>
      <w:jc w:val="center"/>
    </w:pPr>
    <w:rPr>
      <w:rFonts w:ascii="Arial" w:hAnsi="Arial" w:eastAsia="黑体" w:cs="Arial"/>
      <w:color w:val="000000"/>
      <w:spacing w:val="10"/>
      <w:sz w:val="24"/>
    </w:rPr>
  </w:style>
  <w:style w:type="paragraph" w:customStyle="1" w:styleId="105">
    <w:name w:val="6.表与图题标准"/>
    <w:basedOn w:val="1"/>
    <w:qFormat/>
    <w:uiPriority w:val="0"/>
    <w:pPr>
      <w:spacing w:line="360" w:lineRule="auto"/>
      <w:ind w:firstLine="422" w:firstLineChars="200"/>
      <w:jc w:val="center"/>
    </w:pPr>
    <w:rPr>
      <w:rFonts w:ascii="Calibri" w:hAnsi="Calibri"/>
      <w:b/>
      <w:szCs w:val="21"/>
    </w:rPr>
  </w:style>
  <w:style w:type="paragraph" w:customStyle="1" w:styleId="106">
    <w:name w:val="Char1"/>
    <w:basedOn w:val="1"/>
    <w:qFormat/>
    <w:uiPriority w:val="0"/>
    <w:rPr>
      <w:szCs w:val="20"/>
    </w:rPr>
  </w:style>
  <w:style w:type="paragraph" w:customStyle="1" w:styleId="107">
    <w:name w:val="样式 标题 2 + 行距: 多倍行距 1.73 字行"/>
    <w:basedOn w:val="2"/>
    <w:qFormat/>
    <w:uiPriority w:val="0"/>
    <w:pPr>
      <w:adjustRightInd w:val="0"/>
      <w:spacing w:before="240" w:line="560" w:lineRule="exact"/>
    </w:pPr>
    <w:rPr>
      <w:rFonts w:ascii="Times New Roman" w:hAnsi="Times New Roman" w:eastAsia="宋体"/>
      <w:szCs w:val="20"/>
    </w:rPr>
  </w:style>
  <w:style w:type="paragraph" w:customStyle="1" w:styleId="1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09">
    <w:name w:val="正文首缩"/>
    <w:basedOn w:val="1"/>
    <w:next w:val="5"/>
    <w:qFormat/>
    <w:uiPriority w:val="0"/>
    <w:pPr>
      <w:keepNext/>
      <w:adjustRightInd w:val="0"/>
      <w:spacing w:line="300" w:lineRule="auto"/>
      <w:ind w:firstLine="556"/>
    </w:pPr>
    <w:rPr>
      <w:kern w:val="0"/>
      <w:sz w:val="28"/>
      <w:szCs w:val="20"/>
    </w:rPr>
  </w:style>
  <w:style w:type="paragraph" w:customStyle="1" w:styleId="110">
    <w:name w:val="xl40"/>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11">
    <w:name w:val="投标文件一级标题"/>
    <w:basedOn w:val="3"/>
    <w:link w:val="127"/>
    <w:qFormat/>
    <w:uiPriority w:val="0"/>
    <w:pPr>
      <w:pageBreakBefore/>
      <w:numPr>
        <w:numId w:val="2"/>
      </w:numPr>
      <w:tabs>
        <w:tab w:val="left" w:pos="980"/>
      </w:tabs>
      <w:jc w:val="center"/>
    </w:pPr>
    <w:rPr>
      <w:rFonts w:ascii="Arial" w:hAnsi="Arial"/>
    </w:rPr>
  </w:style>
  <w:style w:type="paragraph" w:customStyle="1" w:styleId="112">
    <w:name w:val="xl37"/>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32"/>
      <w:szCs w:val="32"/>
    </w:rPr>
  </w:style>
  <w:style w:type="paragraph" w:customStyle="1" w:styleId="113">
    <w:name w:val="xl36"/>
    <w:basedOn w:val="1"/>
    <w:qFormat/>
    <w:uiPriority w:val="0"/>
    <w:pPr>
      <w:widowControl/>
      <w:pBdr>
        <w:bottom w:val="single" w:color="auto" w:sz="4" w:space="0"/>
      </w:pBdr>
      <w:spacing w:before="100" w:beforeAutospacing="1" w:after="100" w:afterAutospacing="1"/>
      <w:jc w:val="center"/>
    </w:pPr>
    <w:rPr>
      <w:rFonts w:ascii="宋体" w:hAnsi="宋体" w:cs="宋体"/>
      <w:kern w:val="0"/>
      <w:sz w:val="36"/>
      <w:szCs w:val="36"/>
    </w:rPr>
  </w:style>
  <w:style w:type="paragraph" w:customStyle="1" w:styleId="114">
    <w:name w:val="样式 正文 + 首行缩进:  2 字符 Char"/>
    <w:basedOn w:val="1"/>
    <w:qFormat/>
    <w:uiPriority w:val="0"/>
    <w:pPr>
      <w:spacing w:line="360" w:lineRule="auto"/>
      <w:ind w:firstLine="200" w:firstLineChars="200"/>
    </w:pPr>
    <w:rPr>
      <w:rFonts w:ascii="仿宋_GB2312" w:hAnsi="宋体" w:eastAsia="仿宋_GB2312" w:cs="宋体"/>
      <w:kern w:val="0"/>
      <w:sz w:val="24"/>
      <w:szCs w:val="20"/>
    </w:rPr>
  </w:style>
  <w:style w:type="paragraph" w:customStyle="1" w:styleId="115">
    <w:name w:val="列出段落"/>
    <w:basedOn w:val="1"/>
    <w:qFormat/>
    <w:uiPriority w:val="99"/>
    <w:pPr>
      <w:ind w:firstLine="420" w:firstLineChars="200"/>
    </w:pPr>
  </w:style>
  <w:style w:type="paragraph" w:customStyle="1" w:styleId="116">
    <w:name w:val="p18"/>
    <w:basedOn w:val="1"/>
    <w:qFormat/>
    <w:uiPriority w:val="0"/>
    <w:pPr>
      <w:widowControl/>
      <w:snapToGrid w:val="0"/>
      <w:spacing w:before="40" w:after="40"/>
      <w:jc w:val="center"/>
    </w:pPr>
    <w:rPr>
      <w:kern w:val="0"/>
      <w:szCs w:val="21"/>
    </w:rPr>
  </w:style>
  <w:style w:type="paragraph" w:customStyle="1" w:styleId="117">
    <w:name w:val="表格文字"/>
    <w:basedOn w:val="1"/>
    <w:qFormat/>
    <w:uiPriority w:val="0"/>
    <w:pPr>
      <w:spacing w:line="280" w:lineRule="exact"/>
      <w:jc w:val="center"/>
    </w:pPr>
  </w:style>
  <w:style w:type="paragraph" w:customStyle="1" w:styleId="118">
    <w:name w:val="p15"/>
    <w:basedOn w:val="1"/>
    <w:qFormat/>
    <w:uiPriority w:val="0"/>
    <w:pPr>
      <w:widowControl/>
    </w:pPr>
    <w:rPr>
      <w:kern w:val="0"/>
      <w:sz w:val="24"/>
    </w:rPr>
  </w:style>
  <w:style w:type="paragraph" w:customStyle="1" w:styleId="119">
    <w:name w:val="列出段落2"/>
    <w:basedOn w:val="1"/>
    <w:qFormat/>
    <w:uiPriority w:val="0"/>
    <w:pPr>
      <w:ind w:firstLine="420" w:firstLineChars="200"/>
    </w:pPr>
  </w:style>
  <w:style w:type="character" w:customStyle="1" w:styleId="120">
    <w:name w:val="投标文件正文 Char Char"/>
    <w:link w:val="90"/>
    <w:qFormat/>
    <w:uiPriority w:val="0"/>
    <w:rPr>
      <w:rFonts w:ascii="Arial" w:hAnsi="Arial" w:eastAsia="宋体"/>
      <w:kern w:val="2"/>
      <w:sz w:val="24"/>
      <w:szCs w:val="24"/>
      <w:lang w:val="en-US" w:eastAsia="zh-CN" w:bidi="ar-SA"/>
    </w:rPr>
  </w:style>
  <w:style w:type="character" w:customStyle="1" w:styleId="121">
    <w:name w:val="apple-style-span"/>
    <w:basedOn w:val="47"/>
    <w:qFormat/>
    <w:uiPriority w:val="0"/>
  </w:style>
  <w:style w:type="character" w:customStyle="1" w:styleId="122">
    <w:name w:val="标题 3 字符"/>
    <w:link w:val="4"/>
    <w:qFormat/>
    <w:uiPriority w:val="0"/>
    <w:rPr>
      <w:rFonts w:eastAsia="黑体"/>
      <w:bCs/>
      <w:kern w:val="2"/>
      <w:sz w:val="24"/>
      <w:szCs w:val="24"/>
      <w:lang w:val="en-US" w:eastAsia="zh-CN" w:bidi="ar-SA"/>
    </w:rPr>
  </w:style>
  <w:style w:type="character" w:customStyle="1" w:styleId="123">
    <w:name w:val="投标文件三级标题 Char"/>
    <w:link w:val="64"/>
    <w:qFormat/>
    <w:uiPriority w:val="0"/>
    <w:rPr>
      <w:rFonts w:eastAsia="宋体"/>
      <w:kern w:val="2"/>
      <w:sz w:val="21"/>
      <w:szCs w:val="24"/>
      <w:lang w:val="en-US" w:eastAsia="zh-CN" w:bidi="ar-SA"/>
    </w:rPr>
  </w:style>
  <w:style w:type="character" w:customStyle="1" w:styleId="124">
    <w:name w:val="投标文件四级标题 Char"/>
    <w:link w:val="88"/>
    <w:qFormat/>
    <w:uiPriority w:val="0"/>
    <w:rPr>
      <w:rFonts w:eastAsia="宋体"/>
      <w:kern w:val="2"/>
      <w:sz w:val="21"/>
      <w:szCs w:val="24"/>
      <w:lang w:val="en-US" w:eastAsia="zh-CN" w:bidi="ar-SA"/>
    </w:rPr>
  </w:style>
  <w:style w:type="character" w:customStyle="1" w:styleId="125">
    <w:name w:val="dash6b63_6587__char1"/>
    <w:qFormat/>
    <w:uiPriority w:val="0"/>
    <w:rPr>
      <w:rFonts w:hint="default" w:ascii="Times New Roman" w:hAnsi="Times New Roman" w:cs="Times New Roman"/>
      <w:sz w:val="20"/>
      <w:szCs w:val="20"/>
      <w:u w:val="none"/>
    </w:rPr>
  </w:style>
  <w:style w:type="character" w:customStyle="1" w:styleId="126">
    <w:name w:val="投标文件正文 Char"/>
    <w:qFormat/>
    <w:uiPriority w:val="0"/>
    <w:rPr>
      <w:rFonts w:ascii="Arial" w:hAnsi="Arial" w:eastAsia="宋体"/>
      <w:color w:val="000000"/>
      <w:kern w:val="2"/>
      <w:sz w:val="24"/>
      <w:lang w:val="en-US" w:eastAsia="zh-CN" w:bidi="ar-SA"/>
    </w:rPr>
  </w:style>
  <w:style w:type="character" w:customStyle="1" w:styleId="127">
    <w:name w:val="投标文件一级标题 Char"/>
    <w:link w:val="111"/>
    <w:qFormat/>
    <w:uiPriority w:val="0"/>
    <w:rPr>
      <w:rFonts w:ascii="Arial" w:hAnsi="Arial" w:eastAsia="黑体"/>
      <w:bCs/>
      <w:kern w:val="44"/>
      <w:sz w:val="32"/>
      <w:szCs w:val="32"/>
      <w:lang w:val="en-US" w:eastAsia="zh-CN" w:bidi="ar-SA"/>
    </w:rPr>
  </w:style>
  <w:style w:type="character" w:customStyle="1" w:styleId="128">
    <w:name w:val="font11"/>
    <w:qFormat/>
    <w:uiPriority w:val="0"/>
    <w:rPr>
      <w:rFonts w:hint="eastAsia" w:ascii="宋体" w:hAnsi="宋体" w:eastAsia="宋体"/>
      <w:color w:val="000000"/>
      <w:sz w:val="24"/>
      <w:szCs w:val="24"/>
      <w:u w:val="none"/>
    </w:rPr>
  </w:style>
  <w:style w:type="character" w:customStyle="1" w:styleId="129">
    <w:name w:val="font21"/>
    <w:qFormat/>
    <w:uiPriority w:val="0"/>
    <w:rPr>
      <w:rFonts w:hint="default" w:ascii="Times New Roman" w:hAnsi="Times New Roman" w:cs="Times New Roman"/>
      <w:color w:val="000000"/>
      <w:sz w:val="24"/>
      <w:szCs w:val="24"/>
      <w:u w:val="none"/>
    </w:rPr>
  </w:style>
  <w:style w:type="character" w:customStyle="1" w:styleId="130">
    <w:name w:val="c1"/>
    <w:qFormat/>
    <w:uiPriority w:val="0"/>
    <w:rPr>
      <w:sz w:val="20"/>
      <w:szCs w:val="20"/>
    </w:rPr>
  </w:style>
  <w:style w:type="character" w:customStyle="1" w:styleId="131">
    <w:name w:val="正文缩进 字符"/>
    <w:link w:val="12"/>
    <w:qFormat/>
    <w:uiPriority w:val="0"/>
    <w:rPr>
      <w:rFonts w:eastAsia="宋体"/>
      <w:kern w:val="2"/>
      <w:sz w:val="21"/>
      <w:lang w:val="en-US" w:eastAsia="zh-CN" w:bidi="ar-SA"/>
    </w:rPr>
  </w:style>
  <w:style w:type="character" w:customStyle="1" w:styleId="132">
    <w:name w:val="b1481"/>
    <w:qFormat/>
    <w:uiPriority w:val="0"/>
    <w:rPr>
      <w:sz w:val="21"/>
      <w:szCs w:val="21"/>
      <w:u w:val="none"/>
    </w:rPr>
  </w:style>
  <w:style w:type="character" w:customStyle="1" w:styleId="133">
    <w:name w:val="font61"/>
    <w:qFormat/>
    <w:uiPriority w:val="0"/>
    <w:rPr>
      <w:rFonts w:hint="default" w:ascii="Times New Roman" w:hAnsi="Times New Roman" w:cs="Times New Roman"/>
      <w:color w:val="000000"/>
      <w:sz w:val="24"/>
      <w:szCs w:val="24"/>
      <w:u w:val="none"/>
    </w:rPr>
  </w:style>
  <w:style w:type="character" w:customStyle="1" w:styleId="134">
    <w:name w:val="font31"/>
    <w:qFormat/>
    <w:uiPriority w:val="0"/>
    <w:rPr>
      <w:rFonts w:hint="default" w:ascii="Times New Roman" w:hAnsi="Times New Roman" w:cs="Times New Roman"/>
      <w:color w:val="000000"/>
      <w:sz w:val="24"/>
      <w:szCs w:val="24"/>
      <w:u w:val="none"/>
      <w:vertAlign w:val="superscript"/>
    </w:rPr>
  </w:style>
  <w:style w:type="character" w:customStyle="1" w:styleId="135">
    <w:name w:val="标题 2 字符"/>
    <w:link w:val="2"/>
    <w:qFormat/>
    <w:uiPriority w:val="0"/>
    <w:rPr>
      <w:rFonts w:ascii="Arial" w:hAnsi="Arial" w:eastAsia="黑体"/>
      <w:bCs/>
      <w:kern w:val="2"/>
      <w:sz w:val="28"/>
      <w:szCs w:val="28"/>
      <w:lang w:val="en-US" w:eastAsia="zh-CN" w:bidi="ar-SA"/>
    </w:rPr>
  </w:style>
  <w:style w:type="character" w:customStyle="1" w:styleId="136">
    <w:name w:val="font71"/>
    <w:qFormat/>
    <w:uiPriority w:val="0"/>
    <w:rPr>
      <w:rFonts w:hint="default" w:ascii="Times New Roman" w:hAnsi="Times New Roman" w:cs="Times New Roman"/>
      <w:color w:val="000000"/>
      <w:sz w:val="24"/>
      <w:szCs w:val="24"/>
      <w:u w:val="none"/>
      <w:vertAlign w:val="subscript"/>
    </w:rPr>
  </w:style>
  <w:style w:type="character" w:customStyle="1" w:styleId="137">
    <w:name w:val="页脚 字符"/>
    <w:link w:val="30"/>
    <w:qFormat/>
    <w:uiPriority w:val="99"/>
    <w:rPr>
      <w:rFonts w:eastAsia="宋体"/>
      <w:kern w:val="2"/>
      <w:sz w:val="18"/>
      <w:szCs w:val="18"/>
      <w:lang w:val="en-US" w:eastAsia="zh-CN" w:bidi="ar-SA"/>
    </w:rPr>
  </w:style>
  <w:style w:type="character" w:customStyle="1" w:styleId="138">
    <w:name w:val="font81"/>
    <w:basedOn w:val="47"/>
    <w:qFormat/>
    <w:uiPriority w:val="0"/>
    <w:rPr>
      <w:rFonts w:hint="eastAsia" w:ascii="仿宋_GB2312" w:eastAsia="仿宋_GB2312" w:cs="仿宋_GB2312"/>
      <w:color w:val="000000"/>
      <w:sz w:val="20"/>
      <w:szCs w:val="20"/>
      <w:u w:val="none"/>
    </w:rPr>
  </w:style>
  <w:style w:type="paragraph" w:styleId="139">
    <w:name w:val="List Paragraph"/>
    <w:basedOn w:val="1"/>
    <w:link w:val="140"/>
    <w:qFormat/>
    <w:uiPriority w:val="34"/>
    <w:pPr>
      <w:autoSpaceDE w:val="0"/>
      <w:adjustRightInd w:val="0"/>
      <w:snapToGrid w:val="0"/>
      <w:spacing w:line="360" w:lineRule="auto"/>
      <w:ind w:firstLine="420" w:firstLineChars="200"/>
    </w:pPr>
    <w:rPr>
      <w:rFonts w:ascii="宋体" w:hAnsi="宋体" w:cs="宋体"/>
      <w:snapToGrid w:val="0"/>
      <w:kern w:val="0"/>
      <w:sz w:val="24"/>
    </w:rPr>
  </w:style>
  <w:style w:type="character" w:customStyle="1" w:styleId="140">
    <w:name w:val="列表段落 字符"/>
    <w:link w:val="139"/>
    <w:qFormat/>
    <w:uiPriority w:val="34"/>
    <w:rPr>
      <w:rFonts w:ascii="宋体" w:hAnsi="宋体" w:cs="宋体"/>
      <w:snapToGrid w:val="0"/>
      <w:sz w:val="24"/>
      <w:szCs w:val="24"/>
    </w:rPr>
  </w:style>
  <w:style w:type="character" w:customStyle="1" w:styleId="141">
    <w:name w:val="标题 6 字符"/>
    <w:link w:val="7"/>
    <w:qFormat/>
    <w:uiPriority w:val="0"/>
    <w:rPr>
      <w:rFonts w:ascii="Arial" w:hAnsi="Arial" w:eastAsia="黑体"/>
      <w:b/>
      <w:sz w:val="24"/>
    </w:rPr>
  </w:style>
  <w:style w:type="character" w:customStyle="1" w:styleId="142">
    <w:name w:val="标题 7 字符"/>
    <w:link w:val="8"/>
    <w:qFormat/>
    <w:uiPriority w:val="0"/>
    <w:rPr>
      <w:b/>
      <w:sz w:val="24"/>
    </w:rPr>
  </w:style>
  <w:style w:type="character" w:customStyle="1" w:styleId="143">
    <w:name w:val="标题 8 字符"/>
    <w:link w:val="9"/>
    <w:qFormat/>
    <w:uiPriority w:val="0"/>
    <w:rPr>
      <w:rFonts w:ascii="Arial" w:hAnsi="Arial" w:eastAsia="黑体"/>
      <w:sz w:val="24"/>
    </w:rPr>
  </w:style>
  <w:style w:type="character" w:customStyle="1" w:styleId="144">
    <w:name w:val="标题 9 字符"/>
    <w:link w:val="10"/>
    <w:qFormat/>
    <w:uiPriority w:val="0"/>
    <w:rPr>
      <w:rFonts w:ascii="Arial" w:hAnsi="Arial" w:eastAsia="黑体"/>
      <w:sz w:val="21"/>
    </w:rPr>
  </w:style>
  <w:style w:type="character" w:customStyle="1" w:styleId="145">
    <w:name w:val="文档结构图 字符"/>
    <w:link w:val="14"/>
    <w:qFormat/>
    <w:uiPriority w:val="0"/>
    <w:rPr>
      <w:kern w:val="2"/>
      <w:sz w:val="21"/>
      <w:szCs w:val="24"/>
      <w:shd w:val="clear" w:color="auto" w:fill="000080"/>
    </w:rPr>
  </w:style>
  <w:style w:type="character" w:customStyle="1" w:styleId="146">
    <w:name w:val="称呼 字符"/>
    <w:basedOn w:val="47"/>
    <w:link w:val="17"/>
    <w:qFormat/>
    <w:uiPriority w:val="0"/>
    <w:rPr>
      <w:kern w:val="2"/>
      <w:sz w:val="21"/>
      <w:szCs w:val="24"/>
    </w:rPr>
  </w:style>
  <w:style w:type="character" w:customStyle="1" w:styleId="147">
    <w:name w:val="正文文本 3 字符"/>
    <w:link w:val="18"/>
    <w:qFormat/>
    <w:uiPriority w:val="0"/>
    <w:rPr>
      <w:kern w:val="2"/>
      <w:sz w:val="16"/>
      <w:szCs w:val="16"/>
    </w:rPr>
  </w:style>
  <w:style w:type="character" w:customStyle="1" w:styleId="148">
    <w:name w:val="尾注文本 字符"/>
    <w:basedOn w:val="47"/>
    <w:link w:val="28"/>
    <w:qFormat/>
    <w:uiPriority w:val="0"/>
    <w:rPr>
      <w:kern w:val="2"/>
      <w:sz w:val="21"/>
      <w:szCs w:val="24"/>
    </w:rPr>
  </w:style>
  <w:style w:type="character" w:customStyle="1" w:styleId="149">
    <w:name w:val="批注框文本 字符"/>
    <w:link w:val="29"/>
    <w:qFormat/>
    <w:uiPriority w:val="99"/>
    <w:rPr>
      <w:kern w:val="2"/>
      <w:sz w:val="18"/>
      <w:szCs w:val="18"/>
    </w:rPr>
  </w:style>
  <w:style w:type="character" w:customStyle="1" w:styleId="150">
    <w:name w:val="页眉 字符"/>
    <w:link w:val="31"/>
    <w:qFormat/>
    <w:uiPriority w:val="99"/>
    <w:rPr>
      <w:kern w:val="2"/>
      <w:sz w:val="18"/>
      <w:szCs w:val="18"/>
    </w:rPr>
  </w:style>
  <w:style w:type="character" w:customStyle="1" w:styleId="151">
    <w:name w:val="HTML 预设格式 字符"/>
    <w:link w:val="40"/>
    <w:qFormat/>
    <w:uiPriority w:val="99"/>
    <w:rPr>
      <w:rFonts w:ascii="Arial Unicode MS" w:hAnsi="Arial Unicode MS" w:cs="宋体"/>
    </w:rPr>
  </w:style>
  <w:style w:type="character" w:customStyle="1" w:styleId="152">
    <w:name w:val="标题 字符"/>
    <w:basedOn w:val="47"/>
    <w:link w:val="43"/>
    <w:qFormat/>
    <w:uiPriority w:val="0"/>
    <w:rPr>
      <w:rFonts w:eastAsia="黑体" w:cs="Arial"/>
      <w:b/>
      <w:bCs/>
      <w:snapToGrid w:val="0"/>
      <w:spacing w:val="20"/>
      <w:sz w:val="30"/>
      <w:szCs w:val="36"/>
    </w:rPr>
  </w:style>
  <w:style w:type="character" w:customStyle="1" w:styleId="153">
    <w:name w:val="标题 1 Char1"/>
    <w:qFormat/>
    <w:uiPriority w:val="0"/>
    <w:rPr>
      <w:rFonts w:ascii="Calibri Light" w:hAnsi="Calibri Light" w:eastAsia="Calibri Light"/>
      <w:b/>
      <w:bCs/>
      <w:color w:val="2E74B5"/>
      <w:sz w:val="28"/>
      <w:szCs w:val="28"/>
    </w:rPr>
  </w:style>
  <w:style w:type="character" w:customStyle="1" w:styleId="154">
    <w:name w:val="font01"/>
    <w:qFormat/>
    <w:uiPriority w:val="0"/>
    <w:rPr>
      <w:rFonts w:ascii="宋体" w:eastAsia="宋体" w:cs="宋体"/>
      <w:b/>
      <w:color w:val="000000"/>
      <w:sz w:val="18"/>
      <w:szCs w:val="18"/>
      <w:u w:val="none"/>
      <w:lang w:bidi="ar-SA"/>
    </w:rPr>
  </w:style>
  <w:style w:type="character" w:customStyle="1" w:styleId="155">
    <w:name w:val="font41"/>
    <w:qFormat/>
    <w:uiPriority w:val="0"/>
    <w:rPr>
      <w:rFonts w:ascii="黑体" w:eastAsia="黑体" w:cs="黑体"/>
      <w:b/>
      <w:color w:val="000000"/>
      <w:sz w:val="28"/>
      <w:szCs w:val="28"/>
      <w:u w:val="none"/>
      <w:lang w:bidi="ar-SA"/>
    </w:rPr>
  </w:style>
  <w:style w:type="character" w:customStyle="1" w:styleId="156">
    <w:name w:val="ec-img-desc"/>
    <w:qFormat/>
    <w:uiPriority w:val="0"/>
  </w:style>
  <w:style w:type="character" w:customStyle="1" w:styleId="157">
    <w:name w:val="font51"/>
    <w:qFormat/>
    <w:uiPriority w:val="0"/>
    <w:rPr>
      <w:rFonts w:ascii="Times New Roman" w:hAnsi="Times New Roman" w:cs="Times New Roman"/>
      <w:b/>
      <w:color w:val="000000"/>
      <w:sz w:val="20"/>
      <w:szCs w:val="20"/>
      <w:u w:val="none"/>
      <w:lang w:bidi="ar-SA"/>
    </w:rPr>
  </w:style>
  <w:style w:type="character" w:customStyle="1" w:styleId="158">
    <w:name w:val="ml-5"/>
    <w:qFormat/>
    <w:uiPriority w:val="0"/>
  </w:style>
  <w:style w:type="character" w:customStyle="1" w:styleId="159">
    <w:name w:val="f-aid"/>
    <w:qFormat/>
    <w:uiPriority w:val="0"/>
  </w:style>
  <w:style w:type="character" w:customStyle="1" w:styleId="160">
    <w:name w:val="font112"/>
    <w:qFormat/>
    <w:uiPriority w:val="0"/>
    <w:rPr>
      <w:rFonts w:ascii="宋体" w:eastAsia="宋体" w:cs="宋体"/>
      <w:b/>
      <w:color w:val="000000"/>
      <w:sz w:val="20"/>
      <w:szCs w:val="20"/>
      <w:u w:val="none"/>
      <w:lang w:bidi="ar-SA"/>
    </w:rPr>
  </w:style>
  <w:style w:type="character" w:customStyle="1" w:styleId="161">
    <w:name w:val="ff-arial"/>
    <w:qFormat/>
    <w:uiPriority w:val="0"/>
  </w:style>
  <w:style w:type="character" w:customStyle="1" w:styleId="162">
    <w:name w:val="font91"/>
    <w:qFormat/>
    <w:uiPriority w:val="0"/>
    <w:rPr>
      <w:rFonts w:ascii="Times New Roman" w:hAnsi="Times New Roman" w:cs="Times New Roman"/>
      <w:b/>
      <w:color w:val="000000"/>
      <w:sz w:val="28"/>
      <w:szCs w:val="28"/>
      <w:u w:val="none"/>
      <w:lang w:bidi="ar-SA"/>
    </w:rPr>
  </w:style>
  <w:style w:type="character" w:customStyle="1" w:styleId="163">
    <w:name w:val="font121"/>
    <w:qFormat/>
    <w:uiPriority w:val="0"/>
    <w:rPr>
      <w:rFonts w:ascii="Times New Roman" w:hAnsi="Times New Roman" w:cs="Times New Roman"/>
      <w:color w:val="000000"/>
      <w:sz w:val="20"/>
      <w:szCs w:val="20"/>
      <w:u w:val="none"/>
      <w:lang w:bidi="ar-SA"/>
    </w:rPr>
  </w:style>
  <w:style w:type="character" w:customStyle="1" w:styleId="164">
    <w:name w:val="comment"/>
    <w:qFormat/>
    <w:uiPriority w:val="0"/>
  </w:style>
  <w:style w:type="character" w:customStyle="1" w:styleId="165">
    <w:name w:val="列出段落 Char"/>
    <w:qFormat/>
    <w:uiPriority w:val="34"/>
  </w:style>
  <w:style w:type="character" w:customStyle="1" w:styleId="166">
    <w:name w:val="iknow-qb_home_icons"/>
    <w:qFormat/>
    <w:uiPriority w:val="0"/>
  </w:style>
  <w:style w:type="character" w:customStyle="1" w:styleId="167">
    <w:name w:val="grid-r"/>
    <w:qFormat/>
    <w:uiPriority w:val="0"/>
  </w:style>
  <w:style w:type="character" w:customStyle="1" w:styleId="168">
    <w:name w:val="f-red"/>
    <w:qFormat/>
    <w:uiPriority w:val="0"/>
  </w:style>
  <w:style w:type="character" w:customStyle="1" w:styleId="169">
    <w:name w:val="f-pipe"/>
    <w:qFormat/>
    <w:uiPriority w:val="0"/>
  </w:style>
  <w:style w:type="paragraph" w:customStyle="1" w:styleId="170">
    <w:name w:val="Char Char1 Char Char1 Char Char Char Char Char Char"/>
    <w:basedOn w:val="1"/>
    <w:qFormat/>
    <w:uiPriority w:val="0"/>
    <w:pPr>
      <w:widowControl/>
      <w:spacing w:line="360" w:lineRule="auto"/>
      <w:ind w:firstLine="200" w:firstLineChars="200"/>
      <w:jc w:val="left"/>
    </w:pPr>
  </w:style>
  <w:style w:type="paragraph" w:customStyle="1" w:styleId="171">
    <w:name w:val="正文首行缩进两字符"/>
    <w:next w:val="172"/>
    <w:qFormat/>
    <w:uiPriority w:val="0"/>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172">
    <w:name w:val="公式样式 函数"/>
    <w:qFormat/>
    <w:uiPriority w:val="0"/>
    <w:rPr>
      <w:rFonts w:ascii="Times New Roman" w:hAnsi="Times New Roman" w:eastAsia="宋体" w:cs="Times New Roman"/>
      <w:lang w:val="en-US" w:eastAsia="zh-CN" w:bidi="ar-SA"/>
    </w:rPr>
  </w:style>
  <w:style w:type="paragraph" w:customStyle="1" w:styleId="173">
    <w:name w:val="封面主标题"/>
    <w:next w:val="1"/>
    <w:qFormat/>
    <w:uiPriority w:val="0"/>
    <w:pPr>
      <w:adjustRightInd w:val="0"/>
      <w:snapToGrid w:val="0"/>
      <w:spacing w:before="2400" w:after="400"/>
      <w:jc w:val="center"/>
    </w:pPr>
    <w:rPr>
      <w:rFonts w:ascii="Times New Roman" w:hAnsi="Times New Roman" w:eastAsia="黑体" w:cs="宋体"/>
      <w:b/>
      <w:snapToGrid w:val="0"/>
      <w:spacing w:val="20"/>
      <w:sz w:val="72"/>
      <w:szCs w:val="72"/>
      <w:lang w:val="en-US" w:eastAsia="zh-CN" w:bidi="ar-SA"/>
    </w:rPr>
  </w:style>
  <w:style w:type="paragraph" w:customStyle="1" w:styleId="174">
    <w:name w:val="正文文字 8"/>
    <w:basedOn w:val="1"/>
    <w:next w:val="1"/>
    <w:qFormat/>
    <w:uiPriority w:val="0"/>
    <w:pPr>
      <w:ind w:left="240"/>
    </w:pPr>
    <w:rPr>
      <w:sz w:val="16"/>
    </w:rPr>
  </w:style>
  <w:style w:type="paragraph" w:customStyle="1" w:styleId="175">
    <w:name w:val="符号正文1"/>
    <w:basedOn w:val="1"/>
    <w:qFormat/>
    <w:uiPriority w:val="0"/>
    <w:pPr>
      <w:numPr>
        <w:ilvl w:val="3"/>
        <w:numId w:val="2"/>
      </w:numPr>
      <w:tabs>
        <w:tab w:val="left" w:pos="473"/>
        <w:tab w:val="left" w:pos="540"/>
      </w:tabs>
      <w:spacing w:line="360" w:lineRule="auto"/>
    </w:pPr>
    <w:rPr>
      <w:b/>
      <w:bCs/>
      <w:sz w:val="24"/>
    </w:rPr>
  </w:style>
  <w:style w:type="paragraph" w:customStyle="1" w:styleId="176">
    <w:name w:val="usezw"/>
    <w:basedOn w:val="1"/>
    <w:qFormat/>
    <w:uiPriority w:val="0"/>
    <w:pPr>
      <w:spacing w:line="360" w:lineRule="auto"/>
      <w:ind w:firstLine="480" w:firstLineChars="200"/>
    </w:pPr>
    <w:rPr>
      <w:rFonts w:ascii="宋体" w:hAnsi="宋体"/>
      <w:sz w:val="24"/>
      <w:szCs w:val="20"/>
    </w:rPr>
  </w:style>
  <w:style w:type="paragraph" w:customStyle="1" w:styleId="177">
    <w:name w:val="封面副标题"/>
    <w:qFormat/>
    <w:uiPriority w:val="0"/>
    <w:pPr>
      <w:adjustRightInd w:val="0"/>
      <w:snapToGrid w:val="0"/>
      <w:spacing w:before="400" w:after="400"/>
      <w:jc w:val="center"/>
    </w:pPr>
    <w:rPr>
      <w:rFonts w:ascii="Times New Roman" w:hAnsi="Times New Roman" w:eastAsia="黑体" w:cs="宋体"/>
      <w:b/>
      <w:snapToGrid w:val="0"/>
      <w:spacing w:val="20"/>
      <w:sz w:val="52"/>
      <w:szCs w:val="52"/>
      <w:lang w:val="en-US" w:eastAsia="zh-CN" w:bidi="ar-SA"/>
    </w:rPr>
  </w:style>
  <w:style w:type="paragraph" w:customStyle="1" w:styleId="178">
    <w:name w:val="正文文字 7"/>
    <w:basedOn w:val="1"/>
    <w:next w:val="1"/>
    <w:qFormat/>
    <w:uiPriority w:val="0"/>
    <w:pPr>
      <w:ind w:left="240"/>
    </w:pPr>
    <w:rPr>
      <w:sz w:val="20"/>
    </w:rPr>
  </w:style>
  <w:style w:type="paragraph" w:customStyle="1" w:styleId="179">
    <w:name w:val="mb-5"/>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说明"/>
    <w:qFormat/>
    <w:uiPriority w:val="0"/>
    <w:pPr>
      <w:adjustRightInd w:val="0"/>
      <w:snapToGrid w:val="0"/>
      <w:spacing w:beforeLines="50" w:line="360" w:lineRule="auto"/>
      <w:ind w:left="300" w:hanging="300" w:hangingChars="300"/>
    </w:pPr>
    <w:rPr>
      <w:rFonts w:ascii="Times New Roman" w:hAnsi="Times New Roman" w:eastAsia="宋体" w:cs="宋体"/>
      <w:b/>
      <w:snapToGrid w:val="0"/>
      <w:sz w:val="24"/>
      <w:szCs w:val="24"/>
      <w:lang w:val="en-US" w:eastAsia="zh-CN" w:bidi="ar-SA"/>
    </w:rPr>
  </w:style>
  <w:style w:type="paragraph" w:customStyle="1" w:styleId="181">
    <w:name w:val="TOC 标题1"/>
    <w:basedOn w:val="3"/>
    <w:next w:val="1"/>
    <w:qFormat/>
    <w:uiPriority w:val="39"/>
    <w:pPr>
      <w:tabs>
        <w:tab w:val="left" w:pos="0"/>
      </w:tabs>
      <w:outlineLvl w:val="9"/>
    </w:pPr>
  </w:style>
  <w:style w:type="paragraph" w:customStyle="1" w:styleId="182">
    <w:name w:val="表格"/>
    <w:qFormat/>
    <w:uiPriority w:val="0"/>
    <w:pPr>
      <w:adjustRightInd w:val="0"/>
      <w:snapToGrid w:val="0"/>
    </w:pPr>
    <w:rPr>
      <w:rFonts w:ascii="Times New Roman" w:hAnsi="Times New Roman" w:eastAsia="宋体" w:cs="Times New Roman"/>
      <w:snapToGrid w:val="0"/>
      <w:sz w:val="21"/>
      <w:szCs w:val="21"/>
      <w:lang w:val="en-US" w:eastAsia="zh-CN" w:bidi="ar-SA"/>
    </w:rPr>
  </w:style>
  <w:style w:type="paragraph" w:customStyle="1" w:styleId="183">
    <w:name w:val="cms-link-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封面项目名称"/>
    <w:next w:val="1"/>
    <w:qFormat/>
    <w:uiPriority w:val="0"/>
    <w:pPr>
      <w:adjustRightInd w:val="0"/>
      <w:snapToGrid w:val="0"/>
      <w:spacing w:after="5200"/>
      <w:jc w:val="center"/>
    </w:pPr>
    <w:rPr>
      <w:rFonts w:ascii="Times New Roman" w:hAnsi="Times New Roman" w:eastAsia="黑体" w:cs="宋体"/>
      <w:b/>
      <w:snapToGrid w:val="0"/>
      <w:spacing w:val="20"/>
      <w:sz w:val="44"/>
      <w:szCs w:val="52"/>
      <w:lang w:val="en-US" w:eastAsia="zh-CN" w:bidi="ar-SA"/>
    </w:rPr>
  </w:style>
  <w:style w:type="paragraph" w:customStyle="1" w:styleId="185">
    <w:name w:val="正文格式"/>
    <w:basedOn w:val="1"/>
    <w:qFormat/>
    <w:uiPriority w:val="0"/>
    <w:pPr>
      <w:topLinePunct/>
      <w:ind w:firstLine="420" w:firstLineChars="200"/>
    </w:pPr>
    <w:rPr>
      <w:rFonts w:ascii="宋体" w:hAnsi="宋体"/>
      <w:color w:val="000000"/>
      <w:szCs w:val="21"/>
    </w:rPr>
  </w:style>
  <w:style w:type="paragraph" w:customStyle="1" w:styleId="186">
    <w:name w:val="line"/>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基准页眉样式"/>
    <w:basedOn w:val="19"/>
    <w:qFormat/>
    <w:uiPriority w:val="0"/>
    <w:pPr>
      <w:autoSpaceDE w:val="0"/>
      <w:adjustRightInd w:val="0"/>
      <w:snapToGrid w:val="0"/>
      <w:spacing w:before="100" w:after="60" w:line="360" w:lineRule="auto"/>
      <w:ind w:firstLine="482"/>
      <w:jc w:val="center"/>
    </w:pPr>
    <w:rPr>
      <w:rFonts w:ascii="宋体" w:hAnsi="宋体" w:cs="宋体"/>
      <w:snapToGrid w:val="0"/>
      <w:kern w:val="0"/>
      <w:sz w:val="24"/>
    </w:rPr>
  </w:style>
  <w:style w:type="paragraph" w:customStyle="1" w:styleId="188">
    <w:name w:val="中文正文、"/>
    <w:next w:val="17"/>
    <w:qFormat/>
    <w:uiPriority w:val="0"/>
    <w:pPr>
      <w:widowControl w:val="0"/>
      <w:spacing w:line="360" w:lineRule="auto"/>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189">
    <w:name w:val="Char Char Char Char Char Char Char Char Char Char Char Char Char Char Char Char Char Char Char Char Char Char Char Char Char Char Char Char Char Char Char Char Char"/>
    <w:basedOn w:val="1"/>
    <w:qFormat/>
    <w:uiPriority w:val="0"/>
    <w:pPr>
      <w:widowControl/>
      <w:autoSpaceDE w:val="0"/>
      <w:spacing w:after="160" w:line="240" w:lineRule="exact"/>
      <w:jc w:val="left"/>
    </w:pPr>
    <w:rPr>
      <w:rFonts w:ascii="Verdana" w:hAnsi="Verdana" w:eastAsia="仿宋_GB2312"/>
      <w:snapToGrid w:val="0"/>
      <w:kern w:val="0"/>
      <w:sz w:val="24"/>
      <w:szCs w:val="20"/>
      <w:lang w:eastAsia="en-US"/>
    </w:rPr>
  </w:style>
  <w:style w:type="paragraph" w:customStyle="1" w:styleId="190">
    <w:name w:val="style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封面落款"/>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28"/>
      <w:szCs w:val="30"/>
      <w:lang w:val="en-US" w:eastAsia="zh-CN" w:bidi="ar-SA"/>
    </w:rPr>
  </w:style>
  <w:style w:type="paragraph" w:customStyle="1" w:styleId="19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customStyle="1" w:styleId="193">
    <w:name w:val="纯文本 字符"/>
    <w:basedOn w:val="47"/>
    <w:link w:val="24"/>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光盘制作联盟</Company>
  <Pages>66</Pages>
  <Words>25421</Words>
  <Characters>8386</Characters>
  <Lines>69</Lines>
  <Paragraphs>67</Paragraphs>
  <TotalTime>18</TotalTime>
  <ScaleCrop>false</ScaleCrop>
  <LinksUpToDate>false</LinksUpToDate>
  <CharactersWithSpaces>33740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2021-05-11T10:48:00Z</dcterms:created>
  <dc:creator>V9000</dc:creator>
  <cp:lastModifiedBy>wudai</cp:lastModifiedBy>
  <cp:lastPrinted>2018-01-22T08:27:00Z</cp:lastPrinted>
  <dcterms:modified xsi:type="dcterms:W3CDTF">2021-05-31T08:24:44Z</dcterms:modified>
  <dc:title>询价采购文件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C5BC4AF1F1E6497D88B1835C620050B1</vt:lpwstr>
  </property>
</Properties>
</file>